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2E" w:rsidRDefault="00C1412E" w:rsidP="00C1412E">
      <w:pPr>
        <w:rPr>
          <w:i/>
        </w:rPr>
      </w:pPr>
      <w:r w:rsidRPr="00600DAD">
        <w:rPr>
          <w:i/>
          <w:highlight w:val="green"/>
        </w:rPr>
        <w:t>imię i nazwisko</w:t>
      </w:r>
      <w:r w:rsidRPr="00600DAD">
        <w:rPr>
          <w:i/>
          <w:highlight w:val="green"/>
        </w:rPr>
        <w:br/>
        <w:t>ulica, numer domu</w:t>
      </w:r>
      <w:r w:rsidRPr="00600DAD">
        <w:rPr>
          <w:i/>
          <w:highlight w:val="green"/>
        </w:rPr>
        <w:br/>
        <w:t>kod pocztowy, miasto</w:t>
      </w:r>
    </w:p>
    <w:p w:rsidR="00C1412E" w:rsidRDefault="00C1412E" w:rsidP="00C1412E">
      <w:pPr>
        <w:jc w:val="right"/>
        <w:rPr>
          <w:i/>
        </w:rPr>
      </w:pPr>
      <w:r w:rsidRPr="009A1E82">
        <w:rPr>
          <w:i/>
          <w:highlight w:val="green"/>
        </w:rPr>
        <w:t>[miasto]</w:t>
      </w:r>
      <w:r>
        <w:rPr>
          <w:i/>
        </w:rPr>
        <w:t xml:space="preserve">, dnia </w:t>
      </w:r>
      <w:r w:rsidRPr="009A1E82">
        <w:rPr>
          <w:i/>
          <w:highlight w:val="green"/>
        </w:rPr>
        <w:t>[data]</w:t>
      </w:r>
    </w:p>
    <w:p w:rsidR="00C1412E" w:rsidRDefault="00C1412E" w:rsidP="00C1412E">
      <w:pPr>
        <w:jc w:val="right"/>
        <w:rPr>
          <w:i/>
        </w:rPr>
      </w:pPr>
    </w:p>
    <w:p w:rsidR="00C1412E" w:rsidRPr="00600DAD" w:rsidRDefault="00C1412E" w:rsidP="00C1412E">
      <w:pPr>
        <w:jc w:val="right"/>
      </w:pPr>
      <w:proofErr w:type="spellStart"/>
      <w:r w:rsidRPr="00BB6775">
        <w:rPr>
          <w:b/>
        </w:rPr>
        <w:t>Ticketmaster</w:t>
      </w:r>
      <w:proofErr w:type="spellEnd"/>
      <w:r w:rsidRPr="00BB6775">
        <w:rPr>
          <w:b/>
        </w:rPr>
        <w:t xml:space="preserve"> Poland Sp. z o.o. </w:t>
      </w:r>
      <w:r w:rsidRPr="00BB6775">
        <w:br/>
        <w:t>ul. Bukowińska 22b</w:t>
      </w:r>
      <w:r w:rsidRPr="00BB6775">
        <w:br/>
        <w:t>02-703 Warszawa</w:t>
      </w:r>
      <w:r w:rsidRPr="00E151EA">
        <w:t xml:space="preserve"> </w:t>
      </w:r>
    </w:p>
    <w:p w:rsidR="00C1412E" w:rsidRPr="000E067A" w:rsidRDefault="00C1412E" w:rsidP="00C1412E">
      <w:pPr>
        <w:rPr>
          <w:i/>
        </w:rPr>
      </w:pPr>
    </w:p>
    <w:p w:rsidR="00C1412E" w:rsidRDefault="00C1412E" w:rsidP="00C1412E">
      <w:pPr>
        <w:jc w:val="center"/>
        <w:rPr>
          <w:b/>
        </w:rPr>
      </w:pPr>
      <w:r w:rsidRPr="000E067A">
        <w:rPr>
          <w:b/>
        </w:rPr>
        <w:t>Reklamacja</w:t>
      </w:r>
      <w:r>
        <w:rPr>
          <w:b/>
        </w:rPr>
        <w:t xml:space="preserve"> z wezwaniem do zapłaty</w:t>
      </w:r>
    </w:p>
    <w:p w:rsidR="00C1412E" w:rsidRPr="00732F32" w:rsidRDefault="00C1412E" w:rsidP="00C1412E">
      <w:pPr>
        <w:jc w:val="both"/>
        <w:rPr>
          <w:b/>
          <w:i/>
        </w:rPr>
      </w:pPr>
      <w:r w:rsidRPr="00732F32">
        <w:rPr>
          <w:b/>
          <w:i/>
        </w:rPr>
        <w:t xml:space="preserve">dotyczy: numer zamówienia: </w:t>
      </w:r>
      <w:r w:rsidRPr="002E0860">
        <w:rPr>
          <w:b/>
          <w:i/>
          <w:highlight w:val="green"/>
        </w:rPr>
        <w:t>...</w:t>
      </w:r>
      <w:r w:rsidRPr="00732F32">
        <w:rPr>
          <w:b/>
          <w:i/>
        </w:rPr>
        <w:t xml:space="preserve">, </w:t>
      </w:r>
      <w:r w:rsidRPr="000454D8">
        <w:rPr>
          <w:b/>
          <w:i/>
          <w:highlight w:val="yellow"/>
        </w:rPr>
        <w:t>numer biletu</w:t>
      </w:r>
      <w:r w:rsidRPr="00732F32">
        <w:rPr>
          <w:b/>
          <w:i/>
        </w:rPr>
        <w:t>/</w:t>
      </w:r>
      <w:r w:rsidRPr="000454D8">
        <w:rPr>
          <w:b/>
          <w:i/>
          <w:highlight w:val="green"/>
        </w:rPr>
        <w:t>numery biletów</w:t>
      </w:r>
      <w:r w:rsidRPr="00732F32">
        <w:rPr>
          <w:b/>
          <w:i/>
        </w:rPr>
        <w:t xml:space="preserve"> </w:t>
      </w:r>
      <w:r w:rsidRPr="002E0860">
        <w:rPr>
          <w:b/>
          <w:i/>
          <w:highlight w:val="yellow"/>
        </w:rPr>
        <w:t>...</w:t>
      </w:r>
    </w:p>
    <w:p w:rsidR="00C1412E" w:rsidRDefault="00C1412E" w:rsidP="00C1412E">
      <w:pPr>
        <w:jc w:val="both"/>
      </w:pPr>
    </w:p>
    <w:p w:rsidR="00C1412E" w:rsidRDefault="00C1412E" w:rsidP="00C1412E">
      <w:pPr>
        <w:jc w:val="both"/>
      </w:pPr>
      <w:r>
        <w:t>Szanowni Państwo,</w:t>
      </w:r>
    </w:p>
    <w:p w:rsidR="00C1412E" w:rsidRDefault="00C1412E" w:rsidP="00C1412E">
      <w:pPr>
        <w:jc w:val="both"/>
      </w:pPr>
      <w:r>
        <w:t xml:space="preserve">Jako uczestnik zorganizowanego przez Live </w:t>
      </w:r>
      <w:proofErr w:type="spellStart"/>
      <w:r>
        <w:t>Nation</w:t>
      </w:r>
      <w:proofErr w:type="spellEnd"/>
      <w:r>
        <w:t xml:space="preserve"> sp. z o.o. koncertu zespołu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, który odbył się 20.06.2017 roku w Gdańsku, reklamuję sposób wywiązania się przez Państwa ze swoich obowiązków wobec mnie jako posiadacza biletu/biletów do strefy Golden </w:t>
      </w:r>
      <w:proofErr w:type="spellStart"/>
      <w:r>
        <w:t>Circle</w:t>
      </w:r>
      <w:proofErr w:type="spellEnd"/>
      <w:r>
        <w:t xml:space="preserve"> na wspomnianym koncercie.</w:t>
      </w:r>
    </w:p>
    <w:p w:rsidR="00C1412E" w:rsidRDefault="00C1412E" w:rsidP="00C1412E">
      <w:pPr>
        <w:jc w:val="both"/>
      </w:pPr>
      <w:r>
        <w:t xml:space="preserve">Wobec powyższego wzywam do zapłaty kwoty </w:t>
      </w:r>
      <w:r w:rsidRPr="000B5CE5">
        <w:rPr>
          <w:highlight w:val="yellow"/>
        </w:rPr>
        <w:t>...</w:t>
      </w:r>
      <w:r>
        <w:t xml:space="preserve"> zł, w nieprzekraczalnym terminie do dnia 30 lipca 2017 r., na należący do mnie rachunek bankowy o numerze </w:t>
      </w:r>
      <w:r w:rsidRPr="0003503E">
        <w:rPr>
          <w:highlight w:val="green"/>
        </w:rPr>
        <w:t>...</w:t>
      </w:r>
      <w:r>
        <w:t>.</w:t>
      </w:r>
    </w:p>
    <w:p w:rsidR="00C1412E" w:rsidRPr="0003503E" w:rsidRDefault="00C1412E" w:rsidP="00C1412E">
      <w:pPr>
        <w:spacing w:before="360"/>
        <w:jc w:val="center"/>
        <w:rPr>
          <w:b/>
        </w:rPr>
      </w:pPr>
      <w:r>
        <w:rPr>
          <w:b/>
        </w:rPr>
        <w:t>Uzasadnienie</w:t>
      </w:r>
    </w:p>
    <w:p w:rsidR="00C1412E" w:rsidRDefault="00C1412E" w:rsidP="00C1412E">
      <w:pPr>
        <w:jc w:val="both"/>
      </w:pPr>
      <w:r>
        <w:t xml:space="preserve">Strefa Golden </w:t>
      </w:r>
      <w:proofErr w:type="spellStart"/>
      <w:r>
        <w:t>Circle</w:t>
      </w:r>
      <w:proofErr w:type="spellEnd"/>
      <w:r>
        <w:t xml:space="preserve">, zgodnie z nazwą i utartym zwyczajem, jest wydzielonym sektorem bezpośrednio pod sceną (lub ewentualnie oddzieloną od niej sektorem Golden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>, jednak takiego sektora nie przewidywano jako odrębnego w przypadku omawianego koncertu), umożliwiającym względnie bliski kontakt z artystami relatywnie niewielkiej grupie widzów, poprzez obserwację bezpośrednio artystów na scenie, nie – na telebimach.</w:t>
      </w:r>
    </w:p>
    <w:p w:rsidR="00C1412E" w:rsidRDefault="00C1412E" w:rsidP="00C1412E">
      <w:pPr>
        <w:jc w:val="both"/>
      </w:pPr>
      <w:r>
        <w:t xml:space="preserve">Taki charakter sektora jest spójny z jego nazwą – Golden </w:t>
      </w:r>
      <w:proofErr w:type="spellStart"/>
      <w:r>
        <w:t>Circle</w:t>
      </w:r>
      <w:proofErr w:type="spellEnd"/>
      <w:r>
        <w:t>, sugerującej, poprzez użycie słowa „golden” (ang. – złoty) ekskluzywny charakter strefy.</w:t>
      </w:r>
    </w:p>
    <w:p w:rsidR="00C1412E" w:rsidRDefault="00C1412E" w:rsidP="00C1412E">
      <w:pPr>
        <w:jc w:val="both"/>
      </w:pPr>
      <w:r>
        <w:t>Z tak zdefiniowanym charakterem korespondowała i potwierdzała go oficjalna mapa, którą załączam poniżej:</w:t>
      </w:r>
    </w:p>
    <w:p w:rsidR="00C1412E" w:rsidRPr="004632F1" w:rsidRDefault="00C1412E" w:rsidP="00C1412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94811" cy="2538537"/>
            <wp:effectExtent l="19050" t="0" r="0" b="0"/>
            <wp:docPr id="2" name="Obraz 1" descr="E:\maltreting.pl\dokumentacja\GNR\19225298_1735205826494187_69813588093705457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ltreting.pl\dokumentacja\GNR\19225298_1735205826494187_698135880937054577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90" cy="255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E93AD3">
        <w:rPr>
          <w:i/>
          <w:sz w:val="18"/>
          <w:szCs w:val="18"/>
        </w:rPr>
        <w:t xml:space="preserve">Źródło: </w:t>
      </w:r>
      <w:hyperlink r:id="rId9" w:history="1">
        <w:r w:rsidRPr="00E93AD3">
          <w:rPr>
            <w:rStyle w:val="Hipercze"/>
            <w:i/>
            <w:sz w:val="18"/>
            <w:szCs w:val="18"/>
          </w:rPr>
          <w:t>http://www.stadionenerga.pl/assets/Uploads/_resampled/ResizedImage600803-Guns-N-Roses-bilety.jpg</w:t>
        </w:r>
      </w:hyperlink>
      <w:r>
        <w:br/>
      </w:r>
      <w:r w:rsidRPr="00E93AD3">
        <w:rPr>
          <w:i/>
          <w:sz w:val="18"/>
          <w:szCs w:val="18"/>
        </w:rPr>
        <w:t xml:space="preserve"> data pobrania pliku z grafiką: 22.06.2017</w:t>
      </w:r>
    </w:p>
    <w:p w:rsidR="00C1412E" w:rsidRDefault="00C1412E" w:rsidP="00C1412E">
      <w:pPr>
        <w:jc w:val="both"/>
      </w:pPr>
      <w:r>
        <w:t xml:space="preserve">Nawet pobieżny rzut oka wskazuje, że strefa Golden </w:t>
      </w:r>
      <w:proofErr w:type="spellStart"/>
      <w:r>
        <w:t>Circle</w:t>
      </w:r>
      <w:proofErr w:type="spellEnd"/>
      <w:r>
        <w:t xml:space="preserve"> jest w istotny sposób mniejsza od pozostałej części tzw. płyty, czyli sektora GA (General </w:t>
      </w:r>
      <w:proofErr w:type="spellStart"/>
      <w:r>
        <w:t>Admission</w:t>
      </w:r>
      <w:proofErr w:type="spellEnd"/>
      <w:r>
        <w:t>).</w:t>
      </w:r>
    </w:p>
    <w:p w:rsidR="00C1412E" w:rsidRDefault="00C1412E" w:rsidP="00C1412E">
      <w:pPr>
        <w:jc w:val="both"/>
      </w:pPr>
      <w:r>
        <w:lastRenderedPageBreak/>
        <w:t>Tymczasem ku mojemu zaskoczeniu, sytuacja w obiekcie, w którym odbywał się koncert, była diametralnie odmienna: sektor GC okazał się de facto dużo większy od sektora GA i był prawdopodobnie największym sektorem na całym obiekcie. Ilustruje to fotografia (załącznik, fot. 1), wykonana na omawianym koncercie, z wyraźnie widoczną granicą między sektorami GA i GC.</w:t>
      </w:r>
    </w:p>
    <w:p w:rsidR="00C1412E" w:rsidRDefault="00C1412E" w:rsidP="00C1412E">
      <w:pPr>
        <w:jc w:val="both"/>
      </w:pPr>
      <w:r>
        <w:t xml:space="preserve">Jakkolwiek rozumiem, że mapka nie była dokładnym planem obiektu, tak różnicy w stosunku do stanu faktycznego nie da się wytłumaczyć jedynie jej poglądowym charakterem. Stosunek wielkości sektora GA do GC był </w:t>
      </w:r>
      <w:r w:rsidRPr="00835E2B">
        <w:rPr>
          <w:b/>
        </w:rPr>
        <w:t>dramatycznie różny</w:t>
      </w:r>
      <w:r>
        <w:t xml:space="preserve"> na mapie oraz w rzeczywistości. Bliższa analiza wskazuje, że proporcja pomiędzy długością boków obu sektorów zmieniła się około 4-krotnie (!) – z ok. 2:1 na ok. 1:2 (patrz: załączniki, fotografie 2 i 3). W przypadku tak uderzających różnic, </w:t>
      </w:r>
      <w:r w:rsidRPr="0087057E">
        <w:rPr>
          <w:b/>
        </w:rPr>
        <w:t xml:space="preserve">jest oczywistym, że mapka wprowadzała w błąd co do </w:t>
      </w:r>
      <w:r>
        <w:rPr>
          <w:b/>
        </w:rPr>
        <w:t>wielkości i charakteru</w:t>
      </w:r>
      <w:r w:rsidRPr="0087057E">
        <w:rPr>
          <w:b/>
        </w:rPr>
        <w:t xml:space="preserve"> sektora Golden </w:t>
      </w:r>
      <w:proofErr w:type="spellStart"/>
      <w:r w:rsidRPr="0087057E">
        <w:rPr>
          <w:b/>
        </w:rPr>
        <w:t>Circle</w:t>
      </w:r>
      <w:proofErr w:type="spellEnd"/>
      <w:r>
        <w:t xml:space="preserve">. </w:t>
      </w:r>
    </w:p>
    <w:p w:rsidR="00C1412E" w:rsidRDefault="00C1412E" w:rsidP="00C1412E">
      <w:pPr>
        <w:jc w:val="both"/>
      </w:pPr>
      <w:r>
        <w:t xml:space="preserve">Dodatkowo </w:t>
      </w:r>
      <w:r w:rsidRPr="0087057E">
        <w:rPr>
          <w:b/>
        </w:rPr>
        <w:t>w błąd wprowadzało użycie</w:t>
      </w:r>
      <w:r>
        <w:rPr>
          <w:b/>
        </w:rPr>
        <w:t>,</w:t>
      </w:r>
      <w:r w:rsidRPr="0087057E">
        <w:rPr>
          <w:b/>
        </w:rPr>
        <w:t xml:space="preserve"> jako nazwy sektora bliższego scenie</w:t>
      </w:r>
      <w:r>
        <w:rPr>
          <w:b/>
        </w:rPr>
        <w:t>,</w:t>
      </w:r>
      <w:r w:rsidRPr="0087057E">
        <w:rPr>
          <w:b/>
        </w:rPr>
        <w:t xml:space="preserve"> słów „golden </w:t>
      </w:r>
      <w:proofErr w:type="spellStart"/>
      <w:r w:rsidRPr="0087057E">
        <w:rPr>
          <w:b/>
        </w:rPr>
        <w:t>circle</w:t>
      </w:r>
      <w:proofErr w:type="spellEnd"/>
      <w:r w:rsidRPr="0087057E">
        <w:rPr>
          <w:b/>
        </w:rPr>
        <w:t>”</w:t>
      </w:r>
      <w:r>
        <w:t xml:space="preserve">, w sposób oczywisty sugerujących sektor stosunkowo niewielki, o wyjątkowym, nawet ekskluzywnych charakterze. W sposób oczywisty, omawiany sektor na gdańskim koncercie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>, takiego charakteru nie miał.</w:t>
      </w:r>
    </w:p>
    <w:p w:rsidR="00C1412E" w:rsidRDefault="00C1412E" w:rsidP="00C1412E">
      <w:pPr>
        <w:jc w:val="both"/>
      </w:pPr>
      <w:r>
        <w:t xml:space="preserve">Reasumując, uważam, że </w:t>
      </w:r>
      <w:r w:rsidRPr="0087057E">
        <w:rPr>
          <w:b/>
        </w:rPr>
        <w:t>zarówno organizator, jak i sprzedawca biletów (który dysponował pełną wiedzą na temat liczby sprzedawanych biletów) wprowadzi</w:t>
      </w:r>
      <w:r>
        <w:rPr>
          <w:b/>
        </w:rPr>
        <w:t>li</w:t>
      </w:r>
      <w:r w:rsidRPr="0087057E">
        <w:rPr>
          <w:b/>
        </w:rPr>
        <w:t xml:space="preserve"> mnie w błąd co do charakteru i jakości świadczenia</w:t>
      </w:r>
      <w:r>
        <w:t xml:space="preserve">, gdyż </w:t>
      </w:r>
      <w:r w:rsidRPr="0087057E">
        <w:t xml:space="preserve">udział w </w:t>
      </w:r>
      <w:r>
        <w:t xml:space="preserve">gdańskim </w:t>
      </w:r>
      <w:r w:rsidRPr="0087057E">
        <w:t xml:space="preserve">koncercie w strefie Golden </w:t>
      </w:r>
      <w:proofErr w:type="spellStart"/>
      <w:r w:rsidRPr="0087057E">
        <w:t>Circle</w:t>
      </w:r>
      <w:proofErr w:type="spellEnd"/>
      <w:r w:rsidRPr="0087057E">
        <w:t xml:space="preserve"> nie miał nic wspólnego z doświadczeniem, jakie strefa GC powinna zapewniać</w:t>
      </w:r>
      <w:r>
        <w:t>:</w:t>
      </w:r>
    </w:p>
    <w:p w:rsidR="00C1412E" w:rsidRDefault="00C1412E" w:rsidP="00C1412E">
      <w:pPr>
        <w:pStyle w:val="Akapitzlist"/>
        <w:numPr>
          <w:ilvl w:val="0"/>
          <w:numId w:val="1"/>
        </w:numPr>
        <w:jc w:val="both"/>
      </w:pPr>
      <w:r>
        <w:t xml:space="preserve">w bezpośrednim i bliskim sąsiedztwie sceny panował </w:t>
      </w:r>
      <w:r w:rsidRPr="000E10FC">
        <w:rPr>
          <w:b/>
        </w:rPr>
        <w:t>ogromny tłok</w:t>
      </w:r>
      <w:r w:rsidRPr="00600DAD">
        <w:t xml:space="preserve">, czego dowodem był fakt, że podczas koncertu, wokalista </w:t>
      </w:r>
      <w:proofErr w:type="spellStart"/>
      <w:r w:rsidRPr="00600DAD">
        <w:t>Guns</w:t>
      </w:r>
      <w:proofErr w:type="spellEnd"/>
      <w:r w:rsidRPr="00600DAD">
        <w:t xml:space="preserve"> </w:t>
      </w:r>
      <w:proofErr w:type="spellStart"/>
      <w:r w:rsidRPr="00600DAD">
        <w:t>N’Roses</w:t>
      </w:r>
      <w:proofErr w:type="spellEnd"/>
      <w:r w:rsidRPr="000E10FC">
        <w:rPr>
          <w:b/>
        </w:rPr>
        <w:t xml:space="preserve"> dwukrotnie </w:t>
      </w:r>
      <w:r>
        <w:rPr>
          <w:b/>
        </w:rPr>
        <w:t xml:space="preserve">(!) </w:t>
      </w:r>
      <w:r w:rsidRPr="000E10FC">
        <w:rPr>
          <w:b/>
        </w:rPr>
        <w:t>wzywał publiczność do cofnięcia się, by nie powodować zagrożenia dla widzów ściśniętych pod barierkami</w:t>
      </w:r>
      <w:r>
        <w:rPr>
          <w:b/>
        </w:rPr>
        <w:t xml:space="preserve"> bezpośrednio pod sceną</w:t>
      </w:r>
      <w:r>
        <w:t xml:space="preserve">. Było to bezpośrednią konsekwencją decyzji organizatora o wielkości sektora. Gdyby Golden </w:t>
      </w:r>
      <w:proofErr w:type="spellStart"/>
      <w:r>
        <w:t>Circle</w:t>
      </w:r>
      <w:proofErr w:type="spellEnd"/>
      <w:r>
        <w:t xml:space="preserve"> było rozmiarów zbliżonych do tych na grafice z planem, na pierwsze rzędy napierałaby publiczność zgromadzona na powierzchni 1/3 płyty stadionu; tymczasem faktycznie, </w:t>
      </w:r>
      <w:r w:rsidRPr="000E10FC">
        <w:rPr>
          <w:b/>
        </w:rPr>
        <w:t>na pierwsze rzędy napierała publiczność zgromadzona na powierzchni 2/3 płyty stadionu</w:t>
      </w:r>
      <w:r>
        <w:t xml:space="preserve">, oczekująca, by znaleźć się – zgodnie z ideą Golden </w:t>
      </w:r>
      <w:proofErr w:type="spellStart"/>
      <w:r>
        <w:t>Circle</w:t>
      </w:r>
      <w:proofErr w:type="spellEnd"/>
      <w:r>
        <w:t xml:space="preserve"> – jak najbliżej sceny. </w:t>
      </w:r>
    </w:p>
    <w:p w:rsidR="00C1412E" w:rsidRDefault="00C1412E" w:rsidP="00C1412E">
      <w:pPr>
        <w:pStyle w:val="Akapitzlist"/>
        <w:numPr>
          <w:ilvl w:val="0"/>
          <w:numId w:val="1"/>
        </w:numPr>
        <w:jc w:val="both"/>
      </w:pPr>
      <w:r>
        <w:t xml:space="preserve">w większej odległości  trudno było mówić o „względnie bliskim kontakcie z artystą”; z większości powierzchni sektora Golden Circe scena była bardzo słabo widoczna, a </w:t>
      </w:r>
      <w:r w:rsidRPr="0087057E">
        <w:rPr>
          <w:b/>
        </w:rPr>
        <w:t xml:space="preserve">muzyków obserwować dało się w zasadzie jedynie na telebimach, a nie – jak to powinno być w przypadku stref Golden </w:t>
      </w:r>
      <w:proofErr w:type="spellStart"/>
      <w:r w:rsidRPr="0087057E">
        <w:rPr>
          <w:b/>
        </w:rPr>
        <w:t>Circle</w:t>
      </w:r>
      <w:proofErr w:type="spellEnd"/>
      <w:r w:rsidRPr="0087057E">
        <w:rPr>
          <w:b/>
        </w:rPr>
        <w:t xml:space="preserve"> – bezpośrednio na scenie</w:t>
      </w:r>
      <w:r>
        <w:t>.</w:t>
      </w:r>
    </w:p>
    <w:p w:rsidR="00C1412E" w:rsidRDefault="00C1412E" w:rsidP="00C1412E">
      <w:pPr>
        <w:jc w:val="both"/>
      </w:pPr>
      <w:r w:rsidRPr="00600DAD">
        <w:rPr>
          <w:highlight w:val="yellow"/>
        </w:rPr>
        <w:t xml:space="preserve">W związku z powyższym, jako że jakość dostarczonej przez organizatora koncertu usługi odpowiadała udziałowi koncercie dla widza znajdującego się na „zwykłej” płycie, </w:t>
      </w:r>
      <w:r w:rsidRPr="00600DAD">
        <w:rPr>
          <w:b/>
          <w:highlight w:val="yellow"/>
        </w:rPr>
        <w:t>żądam zwrotu kwoty 100 zł, będącej różnicą pomiędzy ceną biletu do sektora GA (256 zł) i GC (356 zł)</w:t>
      </w:r>
      <w:r w:rsidRPr="00600DAD">
        <w:rPr>
          <w:highlight w:val="yellow"/>
        </w:rPr>
        <w:t>.</w:t>
      </w:r>
    </w:p>
    <w:p w:rsidR="00C1412E" w:rsidRDefault="00C1412E" w:rsidP="00C1412E">
      <w:pPr>
        <w:jc w:val="both"/>
      </w:pPr>
      <w:r w:rsidRPr="00600DAD">
        <w:rPr>
          <w:highlight w:val="green"/>
        </w:rPr>
        <w:t xml:space="preserve">W związku z powyższym, jako że jakość dostarczonej przez organizatora koncertu usługi odpowiadała udziałowi koncercie dla widza znajdującego się na „zwykłej” płycie, w oparciu o art. 471 Kodeksu Cywilnego przewidujący, że dłużnik obowiązany jest do naprawienia szkody wynikłej z niewykonania lub nienależytego wykonania zobowiązania, </w:t>
      </w:r>
      <w:r w:rsidRPr="00600DAD">
        <w:rPr>
          <w:b/>
          <w:highlight w:val="green"/>
        </w:rPr>
        <w:t xml:space="preserve">żądam zwrotu kwoty </w:t>
      </w:r>
      <w:r w:rsidRPr="00DF2DA3">
        <w:rPr>
          <w:b/>
          <w:highlight w:val="yellow"/>
        </w:rPr>
        <w:t>...</w:t>
      </w:r>
      <w:r>
        <w:rPr>
          <w:b/>
          <w:highlight w:val="green"/>
        </w:rPr>
        <w:t xml:space="preserve"> zł</w:t>
      </w:r>
      <w:r w:rsidRPr="00600DAD">
        <w:rPr>
          <w:highlight w:val="green"/>
        </w:rPr>
        <w:t>.</w:t>
      </w:r>
    </w:p>
    <w:p w:rsidR="00C1412E" w:rsidRDefault="00C1412E" w:rsidP="00C1412E">
      <w:pPr>
        <w:jc w:val="both"/>
      </w:pPr>
      <w:r>
        <w:t>Z poważaniem</w:t>
      </w:r>
    </w:p>
    <w:p w:rsidR="00C1412E" w:rsidRDefault="00C1412E" w:rsidP="00C1412E">
      <w:pPr>
        <w:jc w:val="both"/>
      </w:pPr>
    </w:p>
    <w:p w:rsidR="00C1412E" w:rsidRDefault="00C1412E" w:rsidP="00C1412E">
      <w:pPr>
        <w:jc w:val="both"/>
        <w:rPr>
          <w:i/>
        </w:rPr>
      </w:pPr>
      <w:r w:rsidRPr="00600DAD">
        <w:rPr>
          <w:i/>
          <w:highlight w:val="green"/>
        </w:rPr>
        <w:t>Imię Nazwisko</w:t>
      </w:r>
      <w:r>
        <w:rPr>
          <w:i/>
        </w:rPr>
        <w:t xml:space="preserve"> </w:t>
      </w:r>
    </w:p>
    <w:p w:rsidR="00431AA8" w:rsidRDefault="00431AA8" w:rsidP="00275169">
      <w:pPr>
        <w:jc w:val="both"/>
        <w:rPr>
          <w:i/>
        </w:rPr>
      </w:pPr>
    </w:p>
    <w:p w:rsidR="005E2906" w:rsidRDefault="004632F1" w:rsidP="00473652">
      <w:pPr>
        <w:pStyle w:val="Nagwek1"/>
        <w:pageBreakBefore/>
      </w:pPr>
      <w:r>
        <w:lastRenderedPageBreak/>
        <w:t>Załączniki</w:t>
      </w:r>
    </w:p>
    <w:p w:rsidR="005E2906" w:rsidRDefault="005E2906" w:rsidP="005E2906">
      <w:pPr>
        <w:pStyle w:val="Nagwek3"/>
      </w:pPr>
      <w:r>
        <w:t>Fotografia 1.</w:t>
      </w:r>
    </w:p>
    <w:p w:rsidR="005E2906" w:rsidRDefault="002E0860" w:rsidP="002E0860">
      <w:pPr>
        <w:jc w:val="both"/>
        <w:rPr>
          <w:i/>
          <w:szCs w:val="20"/>
        </w:rPr>
      </w:pPr>
      <w:r>
        <w:rPr>
          <w:i/>
          <w:szCs w:val="20"/>
        </w:rPr>
        <w:t xml:space="preserve">Fotografia przedstawiająca faktyczne rozmiary poszczególnych stref widowni. Źródło: </w:t>
      </w:r>
      <w:hyperlink r:id="rId10" w:history="1">
        <w:r w:rsidR="005E2906" w:rsidRPr="00E93AD3">
          <w:rPr>
            <w:rStyle w:val="Hipercze"/>
            <w:i/>
            <w:szCs w:val="20"/>
          </w:rPr>
          <w:t>https://www.facebook.com/heavyrockpl/photos/a.1387916451460861.1073741827.1387896518129521/1878468982405603/</w:t>
        </w:r>
      </w:hyperlink>
      <w:r w:rsidR="005E2906" w:rsidRPr="00E93AD3">
        <w:rPr>
          <w:i/>
          <w:szCs w:val="20"/>
        </w:rPr>
        <w:t xml:space="preserve"> data pobrania pliku z grafiką: 22.06.2017</w:t>
      </w:r>
    </w:p>
    <w:p w:rsidR="005E2906" w:rsidRDefault="005E2906" w:rsidP="005E2906">
      <w:pPr>
        <w:pStyle w:val="Nagwek3"/>
      </w:pPr>
      <w:r>
        <w:t>Fotografia 2.</w:t>
      </w:r>
    </w:p>
    <w:p w:rsidR="005E2906" w:rsidRDefault="002E0860" w:rsidP="002E0860">
      <w:pPr>
        <w:jc w:val="both"/>
        <w:rPr>
          <w:i/>
        </w:rPr>
      </w:pPr>
      <w:r>
        <w:rPr>
          <w:i/>
        </w:rPr>
        <w:t xml:space="preserve">Analiza mapki zawartej w tekście reklamacji, polegająca na zmierzeniu liczby pikseli </w:t>
      </w:r>
      <w:r w:rsidR="005E2906">
        <w:rPr>
          <w:i/>
        </w:rPr>
        <w:t xml:space="preserve">odpowiednich boków </w:t>
      </w:r>
      <w:r>
        <w:rPr>
          <w:i/>
        </w:rPr>
        <w:t>poszczególnych sektorów</w:t>
      </w:r>
      <w:r w:rsidR="005E2906">
        <w:rPr>
          <w:i/>
        </w:rPr>
        <w:t>.</w:t>
      </w:r>
      <w:r>
        <w:rPr>
          <w:i/>
        </w:rPr>
        <w:t xml:space="preserve"> Długość boku sektora GA wynosi 141 pikseli, sektora GC – 82 piksele (proporcja 1,7:1).</w:t>
      </w:r>
      <w:r w:rsidR="005E2906">
        <w:rPr>
          <w:i/>
        </w:rPr>
        <w:t xml:space="preserve"> Źródło: </w:t>
      </w:r>
      <w:hyperlink r:id="rId11" w:history="1">
        <w:r w:rsidR="005E2906" w:rsidRPr="004F1E8A">
          <w:rPr>
            <w:rStyle w:val="Hipercze"/>
            <w:i/>
          </w:rPr>
          <w:t>http://www.maltreting.pl/wp-content/uploads/2017/07/gnr-mapka-analiza.jpg</w:t>
        </w:r>
      </w:hyperlink>
      <w:r w:rsidR="005E2906">
        <w:rPr>
          <w:i/>
        </w:rPr>
        <w:t xml:space="preserve"> </w:t>
      </w:r>
    </w:p>
    <w:p w:rsidR="005E2906" w:rsidRDefault="005E2906" w:rsidP="002E0860">
      <w:pPr>
        <w:pStyle w:val="Nagwek3"/>
      </w:pPr>
      <w:r>
        <w:t>Fotografia 3.</w:t>
      </w:r>
    </w:p>
    <w:p w:rsidR="004632F1" w:rsidRPr="00600DAD" w:rsidRDefault="002E0860" w:rsidP="005E2906">
      <w:pPr>
        <w:jc w:val="both"/>
        <w:rPr>
          <w:i/>
        </w:rPr>
      </w:pPr>
      <w:r>
        <w:rPr>
          <w:i/>
        </w:rPr>
        <w:t xml:space="preserve">Analiza fotografii nr 1, polegająca na oszacowaniu rzeczywistych </w:t>
      </w:r>
      <w:r w:rsidR="005E2906">
        <w:rPr>
          <w:i/>
        </w:rPr>
        <w:t xml:space="preserve">proporcji długości </w:t>
      </w:r>
      <w:r>
        <w:rPr>
          <w:i/>
        </w:rPr>
        <w:t xml:space="preserve">boków </w:t>
      </w:r>
      <w:r w:rsidR="005E2906">
        <w:rPr>
          <w:i/>
        </w:rPr>
        <w:t>poszczególnych stref; w analizie zdjęcia wykorzystano fakt, że plastikowe płyty zabezpieczające murawę stadionu tworzą wyraźnie widoczne na zdjęciu pasy; umożliwiło to porównanie długości zewnętrznych krawędzi obu stref.</w:t>
      </w:r>
      <w:r>
        <w:rPr>
          <w:i/>
        </w:rPr>
        <w:t xml:space="preserve"> Sektor GA liczy 13 rzędów płyt zabezpieczających, sektor GC – około 30 (proporcja 1:2,3).</w:t>
      </w:r>
      <w:r w:rsidR="005E2906">
        <w:rPr>
          <w:i/>
        </w:rPr>
        <w:t xml:space="preserve"> Źródło: </w:t>
      </w:r>
      <w:hyperlink r:id="rId12" w:history="1">
        <w:r w:rsidR="005E2906" w:rsidRPr="004F1E8A">
          <w:rPr>
            <w:rStyle w:val="Hipercze"/>
            <w:i/>
          </w:rPr>
          <w:t>http://www.maltreting.pl/wp-content/uploads/2017/07/gnr-golden-circle-analiza.jpg</w:t>
        </w:r>
      </w:hyperlink>
    </w:p>
    <w:p w:rsidR="005E2906" w:rsidRPr="00600DAD" w:rsidRDefault="005E2906" w:rsidP="00600DAD">
      <w:pPr>
        <w:jc w:val="both"/>
        <w:rPr>
          <w:i/>
        </w:rPr>
      </w:pPr>
    </w:p>
    <w:sectPr w:rsidR="005E2906" w:rsidRPr="00600DAD" w:rsidSect="00D306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B5" w:rsidRDefault="005C2FB5" w:rsidP="005C2FB5">
      <w:pPr>
        <w:spacing w:after="0"/>
      </w:pPr>
      <w:r>
        <w:separator/>
      </w:r>
    </w:p>
  </w:endnote>
  <w:endnote w:type="continuationSeparator" w:id="0">
    <w:p w:rsidR="005C2FB5" w:rsidRDefault="005C2FB5" w:rsidP="005C2F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04" w:rsidRDefault="005470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B5" w:rsidRDefault="0077183B" w:rsidP="005C2FB5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5C2FB5">
          <w:t xml:space="preserve">Strona </w:t>
        </w:r>
        <w:fldSimple w:instr=" PAGE ">
          <w:r w:rsidR="00C1412E">
            <w:rPr>
              <w:noProof/>
            </w:rPr>
            <w:t>1</w:t>
          </w:r>
        </w:fldSimple>
        <w:r w:rsidR="005C2FB5">
          <w:t xml:space="preserve"> z </w:t>
        </w:r>
        <w:fldSimple w:instr=" NUMPAGES  ">
          <w:r w:rsidR="00C1412E">
            <w:rPr>
              <w:noProof/>
            </w:rPr>
            <w:t>3</w:t>
          </w:r>
        </w:fldSimple>
      </w:sdtContent>
    </w:sdt>
  </w:p>
  <w:p w:rsidR="005C2FB5" w:rsidRDefault="005C2FB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04" w:rsidRDefault="0054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B5" w:rsidRDefault="005C2FB5" w:rsidP="005C2FB5">
      <w:pPr>
        <w:spacing w:after="0"/>
      </w:pPr>
      <w:r>
        <w:separator/>
      </w:r>
    </w:p>
  </w:footnote>
  <w:footnote w:type="continuationSeparator" w:id="0">
    <w:p w:rsidR="005C2FB5" w:rsidRDefault="005C2FB5" w:rsidP="005C2F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04" w:rsidRDefault="005470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04" w:rsidRDefault="005470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04" w:rsidRDefault="005470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01E0"/>
    <w:multiLevelType w:val="hybridMultilevel"/>
    <w:tmpl w:val="3A58D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D46E9"/>
    <w:multiLevelType w:val="hybridMultilevel"/>
    <w:tmpl w:val="4A86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C0901"/>
    <w:rsid w:val="000037F7"/>
    <w:rsid w:val="0003503E"/>
    <w:rsid w:val="000454D8"/>
    <w:rsid w:val="000B5CE5"/>
    <w:rsid w:val="000C0901"/>
    <w:rsid w:val="000E067A"/>
    <w:rsid w:val="000E10FC"/>
    <w:rsid w:val="000F654E"/>
    <w:rsid w:val="00137B37"/>
    <w:rsid w:val="001E083D"/>
    <w:rsid w:val="00234C9E"/>
    <w:rsid w:val="00275169"/>
    <w:rsid w:val="002E0860"/>
    <w:rsid w:val="002E4F9C"/>
    <w:rsid w:val="004144F0"/>
    <w:rsid w:val="00431AA8"/>
    <w:rsid w:val="004632F1"/>
    <w:rsid w:val="00473652"/>
    <w:rsid w:val="00476EA6"/>
    <w:rsid w:val="004F17D1"/>
    <w:rsid w:val="00511C3E"/>
    <w:rsid w:val="00547004"/>
    <w:rsid w:val="00581EE2"/>
    <w:rsid w:val="005C2FB5"/>
    <w:rsid w:val="005E2906"/>
    <w:rsid w:val="00600DAD"/>
    <w:rsid w:val="00602435"/>
    <w:rsid w:val="00664C5E"/>
    <w:rsid w:val="00732F32"/>
    <w:rsid w:val="0077183B"/>
    <w:rsid w:val="00781F26"/>
    <w:rsid w:val="00794124"/>
    <w:rsid w:val="00835E2B"/>
    <w:rsid w:val="008465C9"/>
    <w:rsid w:val="0087057E"/>
    <w:rsid w:val="00870A7B"/>
    <w:rsid w:val="0091288F"/>
    <w:rsid w:val="00922F0F"/>
    <w:rsid w:val="00924611"/>
    <w:rsid w:val="00937D3F"/>
    <w:rsid w:val="00A11D12"/>
    <w:rsid w:val="00A22686"/>
    <w:rsid w:val="00A3051D"/>
    <w:rsid w:val="00A471A9"/>
    <w:rsid w:val="00A55007"/>
    <w:rsid w:val="00AC1468"/>
    <w:rsid w:val="00BA56A5"/>
    <w:rsid w:val="00C1412E"/>
    <w:rsid w:val="00D306D8"/>
    <w:rsid w:val="00D65AB0"/>
    <w:rsid w:val="00D73B7E"/>
    <w:rsid w:val="00D75F4B"/>
    <w:rsid w:val="00D8018E"/>
    <w:rsid w:val="00D958F0"/>
    <w:rsid w:val="00DF2DA3"/>
    <w:rsid w:val="00DF3F45"/>
    <w:rsid w:val="00E47D5D"/>
    <w:rsid w:val="00E71629"/>
    <w:rsid w:val="00E72A24"/>
    <w:rsid w:val="00E93AD3"/>
    <w:rsid w:val="00EA48FF"/>
    <w:rsid w:val="00EB7E2B"/>
    <w:rsid w:val="00F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AD3"/>
    <w:pPr>
      <w:spacing w:after="120" w:line="240" w:lineRule="auto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C09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F4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4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5500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64C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46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46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454D8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00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00DA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C2F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FB5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C2F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2FB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treting.pl/wp-content/uploads/2017/07/gnr-golden-circle-analiza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ltreting.pl/wp-content/uploads/2017/07/gnr-mapka-analiza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heavyrockpl/photos/a.1387916451460861.1073741827.1387896518129521/187846898240560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dionenerga.pl/assets/Uploads/_resampled/ResizedImage600803-Guns-N-Roses-bilety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2416-32E2-4F52-A6E6-798BA81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5549</Characters>
  <Application>Microsoft Office Word</Application>
  <DocSecurity>0</DocSecurity>
  <Lines>46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2017-07-11T10:27:00Z</dcterms:created>
  <dcterms:modified xsi:type="dcterms:W3CDTF">2017-07-11T17:09:00Z</dcterms:modified>
</cp:coreProperties>
</file>