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A" w:rsidRDefault="000E067A" w:rsidP="000E067A">
      <w:pPr>
        <w:rPr>
          <w:i/>
        </w:rPr>
      </w:pPr>
      <w:r w:rsidRPr="00600DAD">
        <w:rPr>
          <w:i/>
          <w:highlight w:val="green"/>
        </w:rPr>
        <w:t>imię i nazwisko</w:t>
      </w:r>
      <w:r w:rsidRPr="00600DAD">
        <w:rPr>
          <w:i/>
          <w:highlight w:val="green"/>
        </w:rPr>
        <w:br/>
        <w:t>ulica, numer domu</w:t>
      </w:r>
      <w:r w:rsidRPr="00600DAD">
        <w:rPr>
          <w:i/>
          <w:highlight w:val="green"/>
        </w:rPr>
        <w:br/>
        <w:t xml:space="preserve">kod pocztowy, </w:t>
      </w:r>
      <w:r w:rsidR="0088542D">
        <w:rPr>
          <w:i/>
          <w:highlight w:val="green"/>
        </w:rPr>
        <w:t>miejscowość</w:t>
      </w:r>
    </w:p>
    <w:p w:rsidR="0003503E" w:rsidRDefault="0003503E" w:rsidP="0003503E">
      <w:pPr>
        <w:jc w:val="right"/>
        <w:rPr>
          <w:i/>
        </w:rPr>
      </w:pPr>
      <w:r w:rsidRPr="009A1E82">
        <w:rPr>
          <w:i/>
          <w:highlight w:val="green"/>
        </w:rPr>
        <w:t>[</w:t>
      </w:r>
      <w:r w:rsidR="001B5D5B">
        <w:rPr>
          <w:i/>
          <w:highlight w:val="green"/>
        </w:rPr>
        <w:t>miejscowość</w:t>
      </w:r>
      <w:r w:rsidRPr="009A1E82">
        <w:rPr>
          <w:i/>
          <w:highlight w:val="green"/>
        </w:rPr>
        <w:t>]</w:t>
      </w:r>
      <w:r>
        <w:rPr>
          <w:i/>
        </w:rPr>
        <w:t xml:space="preserve">, dnia </w:t>
      </w:r>
      <w:r w:rsidRPr="009A1E82">
        <w:rPr>
          <w:i/>
          <w:highlight w:val="green"/>
        </w:rPr>
        <w:t>[data]</w:t>
      </w:r>
    </w:p>
    <w:p w:rsidR="0003503E" w:rsidRDefault="0003503E" w:rsidP="0003503E">
      <w:pPr>
        <w:jc w:val="right"/>
        <w:rPr>
          <w:i/>
        </w:rPr>
      </w:pPr>
    </w:p>
    <w:p w:rsidR="000E067A" w:rsidRPr="00600DAD" w:rsidRDefault="00600DAD" w:rsidP="00600DAD">
      <w:pPr>
        <w:jc w:val="right"/>
      </w:pPr>
      <w:r w:rsidRPr="001B5D5B">
        <w:rPr>
          <w:b/>
        </w:rPr>
        <w:t xml:space="preserve">Ticketmaster Poland Sp. z </w:t>
      </w:r>
      <w:proofErr w:type="spellStart"/>
      <w:r w:rsidRPr="001B5D5B">
        <w:rPr>
          <w:b/>
        </w:rPr>
        <w:t>o.o</w:t>
      </w:r>
      <w:proofErr w:type="spellEnd"/>
      <w:r w:rsidRPr="001B5D5B">
        <w:rPr>
          <w:b/>
        </w:rPr>
        <w:t xml:space="preserve">. </w:t>
      </w:r>
      <w:r w:rsidRPr="001B5D5B">
        <w:br/>
      </w:r>
      <w:r w:rsidRPr="00BB6775">
        <w:t>ul. Bukowińska 22b</w:t>
      </w:r>
      <w:r w:rsidRPr="00BB6775">
        <w:br/>
        <w:t>02-703 Warszawa</w:t>
      </w:r>
      <w:r w:rsidRPr="00E151EA">
        <w:t xml:space="preserve"> </w:t>
      </w:r>
    </w:p>
    <w:p w:rsidR="000E067A" w:rsidRPr="000E067A" w:rsidRDefault="000E067A" w:rsidP="000E067A">
      <w:pPr>
        <w:rPr>
          <w:i/>
        </w:rPr>
      </w:pPr>
    </w:p>
    <w:p w:rsidR="000E067A" w:rsidRDefault="00FC5CF6" w:rsidP="000E067A">
      <w:pPr>
        <w:jc w:val="center"/>
        <w:rPr>
          <w:b/>
        </w:rPr>
      </w:pPr>
      <w:r>
        <w:rPr>
          <w:b/>
        </w:rPr>
        <w:t>Odwołanie od decyzji w sprawie reklamacji oraz powtórne</w:t>
      </w:r>
      <w:r w:rsidR="00732F32">
        <w:rPr>
          <w:b/>
        </w:rPr>
        <w:t xml:space="preserve"> </w:t>
      </w:r>
      <w:r>
        <w:rPr>
          <w:b/>
        </w:rPr>
        <w:t xml:space="preserve">wezwanie </w:t>
      </w:r>
      <w:r w:rsidR="00732F32">
        <w:rPr>
          <w:b/>
        </w:rPr>
        <w:t>do zapłaty</w:t>
      </w:r>
    </w:p>
    <w:p w:rsidR="00137B37" w:rsidRPr="00732F32" w:rsidRDefault="00137B37" w:rsidP="00137B37">
      <w:pPr>
        <w:jc w:val="both"/>
        <w:rPr>
          <w:b/>
          <w:i/>
        </w:rPr>
      </w:pPr>
      <w:r w:rsidRPr="00732F32">
        <w:rPr>
          <w:b/>
          <w:i/>
        </w:rPr>
        <w:t xml:space="preserve">dotyczy: numer zamówienia: </w:t>
      </w:r>
      <w:r w:rsidRPr="002E0860">
        <w:rPr>
          <w:b/>
          <w:i/>
          <w:highlight w:val="green"/>
        </w:rPr>
        <w:t>...</w:t>
      </w:r>
      <w:r w:rsidRPr="00732F32">
        <w:rPr>
          <w:b/>
          <w:i/>
        </w:rPr>
        <w:t xml:space="preserve">, </w:t>
      </w:r>
      <w:r w:rsidRPr="000454D8">
        <w:rPr>
          <w:b/>
          <w:i/>
          <w:highlight w:val="yellow"/>
        </w:rPr>
        <w:t>numer biletu</w:t>
      </w:r>
      <w:r w:rsidR="00732F32" w:rsidRPr="00732F32">
        <w:rPr>
          <w:b/>
          <w:i/>
        </w:rPr>
        <w:t>/</w:t>
      </w:r>
      <w:r w:rsidR="00732F32" w:rsidRPr="000454D8">
        <w:rPr>
          <w:b/>
          <w:i/>
          <w:highlight w:val="green"/>
        </w:rPr>
        <w:t>numery biletów</w:t>
      </w:r>
      <w:r w:rsidRPr="00732F32">
        <w:rPr>
          <w:b/>
          <w:i/>
        </w:rPr>
        <w:t xml:space="preserve"> </w:t>
      </w:r>
      <w:r w:rsidRPr="002E0860">
        <w:rPr>
          <w:b/>
          <w:i/>
          <w:highlight w:val="yellow"/>
        </w:rPr>
        <w:t>...</w:t>
      </w:r>
    </w:p>
    <w:p w:rsidR="00732F32" w:rsidRDefault="00732F32" w:rsidP="000E067A">
      <w:pPr>
        <w:jc w:val="both"/>
      </w:pPr>
    </w:p>
    <w:p w:rsidR="000E067A" w:rsidRDefault="000E067A" w:rsidP="000E067A">
      <w:pPr>
        <w:jc w:val="both"/>
      </w:pPr>
      <w:r>
        <w:t>Szanowni Państwo,</w:t>
      </w:r>
    </w:p>
    <w:p w:rsidR="0055514F" w:rsidRDefault="0055514F" w:rsidP="0055514F">
      <w:pPr>
        <w:jc w:val="both"/>
      </w:pPr>
      <w:r>
        <w:t xml:space="preserve">w odpowiedzi na moje zgłoszenie reklamacyjne </w:t>
      </w:r>
      <w:r w:rsidR="000523A7">
        <w:t xml:space="preserve">dotyczące warunków udziału w koncercie </w:t>
      </w:r>
      <w:proofErr w:type="spellStart"/>
      <w:r w:rsidR="000523A7">
        <w:t>Guns</w:t>
      </w:r>
      <w:proofErr w:type="spellEnd"/>
      <w:r w:rsidR="000523A7">
        <w:t xml:space="preserve"> </w:t>
      </w:r>
      <w:proofErr w:type="spellStart"/>
      <w:r w:rsidR="000523A7">
        <w:t>N’Roses</w:t>
      </w:r>
      <w:proofErr w:type="spellEnd"/>
      <w:r w:rsidR="000523A7">
        <w:t xml:space="preserve"> w Gdańsku w dniu 20.06.2017, </w:t>
      </w:r>
      <w:r>
        <w:t xml:space="preserve">otrzymałem  od Państwa pismo, w którym stwierdzają Państwo, iż – cytuję – „brak jest podstaw do uznania reklamacji”. Z przykrością stwierdzam, że </w:t>
      </w:r>
      <w:r w:rsidR="001B5D5B">
        <w:t>w piśmie</w:t>
      </w:r>
      <w:r w:rsidR="001B5D5B">
        <w:t xml:space="preserve"> </w:t>
      </w:r>
      <w:r w:rsidR="001B5D5B">
        <w:t>tym</w:t>
      </w:r>
      <w:r>
        <w:t>:</w:t>
      </w:r>
    </w:p>
    <w:p w:rsidR="0055514F" w:rsidRDefault="0055514F" w:rsidP="0055514F">
      <w:pPr>
        <w:pStyle w:val="Akapitzlist"/>
        <w:numPr>
          <w:ilvl w:val="0"/>
          <w:numId w:val="3"/>
        </w:numPr>
        <w:jc w:val="both"/>
      </w:pPr>
      <w:r>
        <w:t>nie odniesi</w:t>
      </w:r>
      <w:r w:rsidR="001B5D5B">
        <w:t>ono się</w:t>
      </w:r>
      <w:r>
        <w:t xml:space="preserve"> do zarzutów stawianych w reklamacji,</w:t>
      </w:r>
    </w:p>
    <w:p w:rsidR="0055514F" w:rsidRDefault="0055514F" w:rsidP="0055514F">
      <w:pPr>
        <w:pStyle w:val="Akapitzlist"/>
        <w:numPr>
          <w:ilvl w:val="0"/>
          <w:numId w:val="3"/>
        </w:numPr>
        <w:jc w:val="both"/>
      </w:pPr>
      <w:r>
        <w:t>powoł</w:t>
      </w:r>
      <w:r w:rsidR="001B5D5B">
        <w:t>ano</w:t>
      </w:r>
      <w:r>
        <w:t xml:space="preserve"> się na </w:t>
      </w:r>
      <w:r w:rsidR="000523A7">
        <w:t>wątpliwe merytorycznie argumenty, które w dodatku sami Państwo podważają swoimi innymi działaniami.</w:t>
      </w:r>
      <w:r>
        <w:t xml:space="preserve">  </w:t>
      </w:r>
    </w:p>
    <w:p w:rsidR="0003503E" w:rsidRDefault="000523A7" w:rsidP="0003503E">
      <w:pPr>
        <w:jc w:val="both"/>
      </w:pPr>
      <w:r>
        <w:t>W</w:t>
      </w:r>
      <w:r w:rsidR="0003503E">
        <w:t>obec powyższego</w:t>
      </w:r>
      <w:r w:rsidR="001B5D5B">
        <w:t>,</w:t>
      </w:r>
      <w:r w:rsidR="0003503E">
        <w:t xml:space="preserve"> </w:t>
      </w:r>
      <w:r>
        <w:t xml:space="preserve">ponownie </w:t>
      </w:r>
      <w:r w:rsidR="0003503E">
        <w:t xml:space="preserve">wzywam do zapłaty </w:t>
      </w:r>
      <w:r w:rsidR="004632F1">
        <w:t>kwoty</w:t>
      </w:r>
      <w:r w:rsidR="000B5CE5">
        <w:t xml:space="preserve"> </w:t>
      </w:r>
      <w:r w:rsidR="000B5CE5" w:rsidRPr="000B5CE5">
        <w:rPr>
          <w:highlight w:val="yellow"/>
        </w:rPr>
        <w:t>...</w:t>
      </w:r>
      <w:r w:rsidR="000B5CE5">
        <w:t xml:space="preserve"> zł</w:t>
      </w:r>
      <w:r w:rsidR="004632F1">
        <w:t>,</w:t>
      </w:r>
      <w:r w:rsidR="0003503E">
        <w:t xml:space="preserve"> w nieprzekraczalnym terminie do dnia </w:t>
      </w:r>
      <w:r>
        <w:t>10</w:t>
      </w:r>
      <w:r w:rsidR="0003503E">
        <w:t xml:space="preserve"> </w:t>
      </w:r>
      <w:r>
        <w:t xml:space="preserve">września </w:t>
      </w:r>
      <w:r w:rsidR="0003503E">
        <w:t xml:space="preserve">2017 r., na należący do mnie rachunek bankowy o numerze </w:t>
      </w:r>
      <w:r w:rsidR="0003503E" w:rsidRPr="0003503E">
        <w:rPr>
          <w:highlight w:val="green"/>
        </w:rPr>
        <w:t>...</w:t>
      </w:r>
      <w:r w:rsidR="0003503E">
        <w:t>.</w:t>
      </w:r>
    </w:p>
    <w:p w:rsidR="0003503E" w:rsidRPr="0003503E" w:rsidRDefault="0003503E" w:rsidP="0003503E">
      <w:pPr>
        <w:spacing w:before="360"/>
        <w:jc w:val="center"/>
        <w:rPr>
          <w:b/>
        </w:rPr>
      </w:pPr>
      <w:r>
        <w:rPr>
          <w:b/>
        </w:rPr>
        <w:t>Uzasadnienie</w:t>
      </w:r>
    </w:p>
    <w:p w:rsidR="00AA6909" w:rsidRDefault="00AA6909" w:rsidP="000E067A">
      <w:pPr>
        <w:jc w:val="both"/>
      </w:pPr>
      <w:r>
        <w:t>W powołanej odpowiedzi na reklamację piszą Państwo w szczególności:</w:t>
      </w:r>
    </w:p>
    <w:p w:rsidR="00AA6909" w:rsidRDefault="00AA6909" w:rsidP="00AA6909">
      <w:r>
        <w:rPr>
          <w:i/>
        </w:rPr>
        <w:t xml:space="preserve">W trakcie procesu zakupu biletów został </w:t>
      </w:r>
      <w:r w:rsidRPr="00AA6909">
        <w:rPr>
          <w:i/>
          <w:highlight w:val="yellow"/>
        </w:rPr>
        <w:t>Pan poinformowany/</w:t>
      </w:r>
      <w:r w:rsidRPr="00AA6909">
        <w:rPr>
          <w:i/>
          <w:highlight w:val="green"/>
        </w:rPr>
        <w:t>została Pani poinformowana</w:t>
      </w:r>
      <w:r>
        <w:rPr>
          <w:i/>
        </w:rPr>
        <w:t xml:space="preserve">, że mapka znajdująca się na stronie internetowej jest mapką poglądową, że rysunek odzwierciedla ogólny układ miejsc w obiekcie oraz, że w przypadku niektórych wydarzeń układ i położenie poszczególnych miejsc może ulec zmianie. </w:t>
      </w:r>
      <w:r w:rsidRPr="00AA6909">
        <w:rPr>
          <w:i/>
          <w:highlight w:val="yellow"/>
        </w:rPr>
        <w:t>Dokonał Pan/</w:t>
      </w:r>
      <w:r w:rsidRPr="00AA6909">
        <w:rPr>
          <w:i/>
          <w:highlight w:val="green"/>
        </w:rPr>
        <w:t>Dokonała Pani</w:t>
      </w:r>
      <w:r>
        <w:rPr>
          <w:i/>
        </w:rPr>
        <w:t xml:space="preserve"> wyboru sektora Golden </w:t>
      </w:r>
      <w:proofErr w:type="spellStart"/>
      <w:r>
        <w:rPr>
          <w:i/>
        </w:rPr>
        <w:t>Circle</w:t>
      </w:r>
      <w:proofErr w:type="spellEnd"/>
      <w:r>
        <w:rPr>
          <w:i/>
        </w:rPr>
        <w:t>, który znajduje się najbliżej sceny.</w:t>
      </w:r>
    </w:p>
    <w:p w:rsidR="00AA6909" w:rsidRDefault="001B5D5B" w:rsidP="000E067A">
      <w:pPr>
        <w:jc w:val="both"/>
      </w:pPr>
      <w:r>
        <w:t>P</w:t>
      </w:r>
      <w:r w:rsidR="00AA6909">
        <w:t>owyższa argumentacja jest fałszywa.</w:t>
      </w:r>
    </w:p>
    <w:p w:rsidR="00D53D5F" w:rsidRDefault="00D53D5F" w:rsidP="000E067A">
      <w:pPr>
        <w:jc w:val="both"/>
      </w:pPr>
      <w:r>
        <w:t xml:space="preserve">Po pierwsze, ogromnym nadużyciem jest stwierdzenie, że „sektor Golden </w:t>
      </w:r>
      <w:proofErr w:type="spellStart"/>
      <w:r>
        <w:t>Circle</w:t>
      </w:r>
      <w:proofErr w:type="spellEnd"/>
      <w:r>
        <w:t xml:space="preserve"> znajduje się najbliżej sceny”. Widzowie w znacznej części sektora, być może nawet na większości jego powierzchni, obserwowali koncert z odległości większej, niż widzowie siedzący na najbardziej oddalonych od sceny miejscach w sektorze B i Q. Z tego punktu widzenia, to właśnie te dwa sektory (a być może nawet przyległe sektory C i P) </w:t>
      </w:r>
      <w:r w:rsidRPr="00D53D5F">
        <w:rPr>
          <w:i/>
        </w:rPr>
        <w:t>zapewniały</w:t>
      </w:r>
      <w:r>
        <w:t xml:space="preserve"> większą </w:t>
      </w:r>
      <w:r w:rsidR="001B5D5B">
        <w:t>bliskość</w:t>
      </w:r>
      <w:r w:rsidR="001B5D5B">
        <w:t xml:space="preserve"> </w:t>
      </w:r>
      <w:r>
        <w:t xml:space="preserve">sceny, niż rzekome Golden </w:t>
      </w:r>
      <w:proofErr w:type="spellStart"/>
      <w:r>
        <w:t>Circle</w:t>
      </w:r>
      <w:proofErr w:type="spellEnd"/>
      <w:r>
        <w:t>.</w:t>
      </w:r>
    </w:p>
    <w:p w:rsidR="00AA6909" w:rsidRDefault="00AA6909" w:rsidP="000E067A">
      <w:pPr>
        <w:jc w:val="both"/>
      </w:pPr>
      <w:r>
        <w:t xml:space="preserve">Po </w:t>
      </w:r>
      <w:r w:rsidR="00D53D5F">
        <w:t>drugie</w:t>
      </w:r>
      <w:r>
        <w:t xml:space="preserve">, nie </w:t>
      </w:r>
      <w:r w:rsidRPr="00AA6909">
        <w:rPr>
          <w:highlight w:val="yellow"/>
        </w:rPr>
        <w:t>kwestionowałem/</w:t>
      </w:r>
      <w:r w:rsidRPr="00AA6909">
        <w:rPr>
          <w:highlight w:val="green"/>
        </w:rPr>
        <w:t>kwestionowałam</w:t>
      </w:r>
      <w:r>
        <w:t xml:space="preserve"> faktu, że mapka na stronie internetowej ma charakter poglądowy. Co więcej, wzmianka o tym, że jestem </w:t>
      </w:r>
      <w:r w:rsidRPr="00AA6909">
        <w:rPr>
          <w:highlight w:val="yellow"/>
        </w:rPr>
        <w:t>świadomy/</w:t>
      </w:r>
      <w:r w:rsidRPr="00AA6909">
        <w:rPr>
          <w:highlight w:val="green"/>
        </w:rPr>
        <w:t>świadoma</w:t>
      </w:r>
      <w:r>
        <w:t xml:space="preserve"> poglądowego charakteru grafiki, znalazła się w reklamacji</w:t>
      </w:r>
      <w:r w:rsidR="007521BD">
        <w:t>.</w:t>
      </w:r>
      <w:r w:rsidR="00D83EB3">
        <w:t xml:space="preserve"> Cytuję fragment oryginalnej reklamacji:</w:t>
      </w:r>
    </w:p>
    <w:p w:rsidR="007521BD" w:rsidRPr="009B4D50" w:rsidRDefault="00D83EB3" w:rsidP="000E067A">
      <w:pPr>
        <w:jc w:val="both"/>
        <w:rPr>
          <w:i/>
        </w:rPr>
      </w:pPr>
      <w:r w:rsidRPr="00D83EB3">
        <w:rPr>
          <w:i/>
        </w:rPr>
        <w:t xml:space="preserve">Jakkolwiek rozumiem, że mapka nie była dokładnym planem obiektu, tak różnicy w stosunku do stanu faktycznego nie da się wytłumaczyć jedynie jej poglądowym charakterem. Stosunek wielkości sektora GA do GC był </w:t>
      </w:r>
      <w:r w:rsidRPr="009B4D50">
        <w:rPr>
          <w:i/>
        </w:rPr>
        <w:t>dramatycznie różny na mapie oraz w rzeczywistości. Bliższa analiza wskazuje, że proporcja pomiędzy długością boków obu sektorów zmieniła się około 4-krotnie (!) – z ok. 2:1 na ok. 1:2</w:t>
      </w:r>
      <w:r w:rsidR="009B4D50" w:rsidRPr="009B4D50">
        <w:rPr>
          <w:i/>
        </w:rPr>
        <w:t xml:space="preserve"> [...]</w:t>
      </w:r>
      <w:r w:rsidR="00D1287C">
        <w:rPr>
          <w:i/>
        </w:rPr>
        <w:t xml:space="preserve"> </w:t>
      </w:r>
      <w:r w:rsidR="009B4D50" w:rsidRPr="009B4D50">
        <w:rPr>
          <w:i/>
        </w:rPr>
        <w:t xml:space="preserve">W przypadku tak uderzających różnic, jest oczywistym, że mapka wprowadzała w błąd co do wielkości i charakteru sektora Golden </w:t>
      </w:r>
      <w:proofErr w:type="spellStart"/>
      <w:r w:rsidR="009B4D50" w:rsidRPr="009B4D50">
        <w:rPr>
          <w:i/>
        </w:rPr>
        <w:t>Circle</w:t>
      </w:r>
      <w:proofErr w:type="spellEnd"/>
      <w:r w:rsidR="009B4D50" w:rsidRPr="009B4D50">
        <w:rPr>
          <w:i/>
        </w:rPr>
        <w:t>.</w:t>
      </w:r>
    </w:p>
    <w:p w:rsidR="00D83EB3" w:rsidRDefault="009B4D50" w:rsidP="000E067A">
      <w:pPr>
        <w:jc w:val="both"/>
      </w:pPr>
      <w:r>
        <w:t xml:space="preserve">Do zarzutu dramatycznych, nie dających się wytłumaczyć poglądowym charakterem grafiki, różnic pomiędzy mapką a rzeczywistym rozmiarem sektorów </w:t>
      </w:r>
      <w:r w:rsidR="001B5D5B" w:rsidRPr="001B5D5B">
        <w:rPr>
          <w:b/>
        </w:rPr>
        <w:t xml:space="preserve">nie odnieśli się </w:t>
      </w:r>
      <w:r w:rsidRPr="001B5D5B">
        <w:rPr>
          <w:b/>
        </w:rPr>
        <w:t xml:space="preserve">Państwo </w:t>
      </w:r>
      <w:r w:rsidR="001B5D5B" w:rsidRPr="001B5D5B">
        <w:rPr>
          <w:b/>
        </w:rPr>
        <w:t>w żadnym zakresie</w:t>
      </w:r>
      <w:r>
        <w:t>.</w:t>
      </w:r>
    </w:p>
    <w:p w:rsidR="009B4D50" w:rsidRDefault="009B4D50" w:rsidP="00F53235">
      <w:pPr>
        <w:jc w:val="both"/>
      </w:pPr>
      <w:r>
        <w:lastRenderedPageBreak/>
        <w:t xml:space="preserve">Po </w:t>
      </w:r>
      <w:r w:rsidR="00D53D5F">
        <w:t>trzecie wreszcie</w:t>
      </w:r>
      <w:r>
        <w:t xml:space="preserve">, wskazywałem, że nazwa „Golden </w:t>
      </w:r>
      <w:proofErr w:type="spellStart"/>
      <w:r>
        <w:t>Circle</w:t>
      </w:r>
      <w:proofErr w:type="spellEnd"/>
      <w:r>
        <w:t xml:space="preserve">”, sugerująca sektor stosunkowo niewielki, o wyjątkowym, </w:t>
      </w:r>
      <w:r w:rsidR="001B5D5B">
        <w:t xml:space="preserve">a </w:t>
      </w:r>
      <w:r>
        <w:t>nawet ekskluzywny</w:t>
      </w:r>
      <w:r w:rsidR="001B5D5B">
        <w:t>m</w:t>
      </w:r>
      <w:r>
        <w:t xml:space="preserve"> charakterze, była kolejnym elementem w Państwa komunikacji, który wprowadzał w błąd co do charakteru i jakości świadczonej usługi.</w:t>
      </w:r>
    </w:p>
    <w:p w:rsidR="009B4D50" w:rsidRDefault="009B4D50" w:rsidP="00F53235">
      <w:pPr>
        <w:jc w:val="both"/>
      </w:pPr>
      <w:r>
        <w:rPr>
          <w:b/>
        </w:rPr>
        <w:t>Do tego zarzutu również się Państwo nie odnieśli.</w:t>
      </w:r>
    </w:p>
    <w:p w:rsidR="00D53D5F" w:rsidRDefault="00D53D5F" w:rsidP="00F53235">
      <w:pPr>
        <w:jc w:val="both"/>
      </w:pPr>
      <w:r>
        <w:t xml:space="preserve">W tym miejscu </w:t>
      </w:r>
      <w:r w:rsidR="00F53235">
        <w:t xml:space="preserve">pragnę </w:t>
      </w:r>
      <w:r>
        <w:t xml:space="preserve">zauważyć, </w:t>
      </w:r>
      <w:r w:rsidR="00F53235">
        <w:t xml:space="preserve">że </w:t>
      </w:r>
      <w:r>
        <w:t xml:space="preserve">posługiwanie się </w:t>
      </w:r>
      <w:r w:rsidR="00F53235">
        <w:t xml:space="preserve">tak dalece odbiegającą od rzeczywistości mapką </w:t>
      </w:r>
      <w:r>
        <w:t xml:space="preserve">oraz używanie nazwy „Golden </w:t>
      </w:r>
      <w:proofErr w:type="spellStart"/>
      <w:r>
        <w:t>Circle</w:t>
      </w:r>
      <w:proofErr w:type="spellEnd"/>
      <w:r>
        <w:t>” w odniesieniu do sektora, który zajmował blisko 2/3 płyty stadionu</w:t>
      </w:r>
      <w:r w:rsidR="00F53235">
        <w:t>, jest złamaniem szeregu przepisów chroniących interes konsumenta, w szczególności:</w:t>
      </w:r>
    </w:p>
    <w:p w:rsidR="00D53D5F" w:rsidRDefault="00D53D5F" w:rsidP="00F53235">
      <w:pPr>
        <w:ind w:left="284" w:hanging="284"/>
        <w:jc w:val="both"/>
      </w:pPr>
      <w:r>
        <w:t>1.</w:t>
      </w:r>
      <w:r>
        <w:tab/>
      </w:r>
      <w:r w:rsidR="001B5D5B">
        <w:t xml:space="preserve">może </w:t>
      </w:r>
      <w:r>
        <w:t>wypełnia</w:t>
      </w:r>
      <w:r w:rsidR="001B5D5B">
        <w:t>ć</w:t>
      </w:r>
      <w:r>
        <w:t xml:space="preserve"> definicję </w:t>
      </w:r>
      <w:r w:rsidRPr="00624562">
        <w:rPr>
          <w:b/>
        </w:rPr>
        <w:t>nieuczciwej praktyki rynkowej wobec konsumentów</w:t>
      </w:r>
      <w:r>
        <w:t xml:space="preserve"> zawartą w art. 4 Ustawy o przeciwdziałaniu nieuczciwym praktykom rynkowym (jako </w:t>
      </w:r>
      <w:r w:rsidRPr="00624562">
        <w:rPr>
          <w:b/>
        </w:rPr>
        <w:t>sprzeczne z dobrymi obyczajami</w:t>
      </w:r>
      <w:r>
        <w:t xml:space="preserve"> oraz </w:t>
      </w:r>
      <w:r>
        <w:rPr>
          <w:b/>
        </w:rPr>
        <w:t>zniekształcające</w:t>
      </w:r>
      <w:r w:rsidRPr="00624562">
        <w:rPr>
          <w:b/>
        </w:rPr>
        <w:t xml:space="preserve"> lub mogące </w:t>
      </w:r>
      <w:r>
        <w:rPr>
          <w:b/>
        </w:rPr>
        <w:t xml:space="preserve">zniekształcić </w:t>
      </w:r>
      <w:r w:rsidRPr="00624562">
        <w:rPr>
          <w:b/>
        </w:rPr>
        <w:t>zachowanie konsumentów</w:t>
      </w:r>
      <w:r>
        <w:t xml:space="preserve">) oraz, w zależności od tego, czy mówimy tu o działaniu, czy o zaniechaniu, odpowiednio art. 5 i 6 tej ustawy, w których mowa jest </w:t>
      </w:r>
      <w:r w:rsidRPr="00624562">
        <w:rPr>
          <w:b/>
        </w:rPr>
        <w:t>o wprowadzaniu konsumenta w błąd</w:t>
      </w:r>
      <w:r>
        <w:t>, w szczególności poprzez</w:t>
      </w:r>
      <w:r w:rsidRPr="00624562">
        <w:rPr>
          <w:b/>
        </w:rPr>
        <w:t xml:space="preserve"> rozpowszechnianie nieprawdziwych informacji lub informacji prawdziwych, jednak w sposób mogący wprowadzać w błąd</w:t>
      </w:r>
      <w:r>
        <w:t xml:space="preserve"> (ust. 2 </w:t>
      </w:r>
      <w:proofErr w:type="spellStart"/>
      <w:r>
        <w:t>pkt</w:t>
      </w:r>
      <w:proofErr w:type="spellEnd"/>
      <w:r>
        <w:t xml:space="preserve"> 1-2 oraz ust odpowiednio 4. i 5.)</w:t>
      </w:r>
    </w:p>
    <w:p w:rsidR="00D53D5F" w:rsidRDefault="00D53D5F" w:rsidP="00F53235">
      <w:pPr>
        <w:ind w:left="284" w:hanging="284"/>
        <w:jc w:val="both"/>
      </w:pPr>
      <w:r>
        <w:t>2.</w:t>
      </w:r>
      <w:r>
        <w:tab/>
      </w:r>
      <w:r w:rsidR="001B5D5B">
        <w:t xml:space="preserve">może </w:t>
      </w:r>
      <w:r>
        <w:t>wypełnia</w:t>
      </w:r>
      <w:r w:rsidR="001B5D5B">
        <w:t>ć</w:t>
      </w:r>
      <w:r>
        <w:t xml:space="preserve"> definicję </w:t>
      </w:r>
      <w:r w:rsidRPr="00624562">
        <w:rPr>
          <w:b/>
        </w:rPr>
        <w:t>czynu nieuczciwej konkurencji</w:t>
      </w:r>
      <w:r>
        <w:t xml:space="preserve">, zawartą w art. 3 Ustawy o zwalczaniu nieuczciwej konkurencji, oraz spełnia warunek określony w art. 10 ust. 1, zgodnie z którym czynem nieuczciwej konkurencji jest </w:t>
      </w:r>
      <w:r w:rsidRPr="00624562">
        <w:rPr>
          <w:b/>
        </w:rPr>
        <w:t>wprowadzenie w błąd co do jakości</w:t>
      </w:r>
      <w:r>
        <w:t xml:space="preserve"> (mapka oraz określenie </w:t>
      </w:r>
      <w:r>
        <w:rPr>
          <w:i/>
        </w:rPr>
        <w:t xml:space="preserve">golden </w:t>
      </w:r>
      <w:proofErr w:type="spellStart"/>
      <w:r>
        <w:rPr>
          <w:i/>
        </w:rPr>
        <w:t>circle</w:t>
      </w:r>
      <w:proofErr w:type="spellEnd"/>
      <w:r>
        <w:t xml:space="preserve"> sugerowały zdecydowanie wyższą jakość odbioru koncertu w omawianych sektorze, niż miało to miejsce w rzeczywistości)</w:t>
      </w:r>
    </w:p>
    <w:p w:rsidR="00D53D5F" w:rsidRPr="0054433F" w:rsidRDefault="00D53D5F" w:rsidP="00F53235">
      <w:pPr>
        <w:ind w:left="284" w:hanging="284"/>
        <w:jc w:val="both"/>
      </w:pPr>
      <w:r>
        <w:t>3.</w:t>
      </w:r>
      <w:r>
        <w:tab/>
        <w:t xml:space="preserve">stanowi praktykę naruszającą zbiorowe interesy konsumentów, zgodnie z art. 24. ust. 2 </w:t>
      </w:r>
      <w:proofErr w:type="spellStart"/>
      <w:r>
        <w:t>pkt</w:t>
      </w:r>
      <w:proofErr w:type="spellEnd"/>
      <w:r>
        <w:t xml:space="preserve"> 2 Ustawy o ochronie konkurencji i konsumentów, poprzez </w:t>
      </w:r>
      <w:r w:rsidRPr="00677407">
        <w:rPr>
          <w:b/>
        </w:rPr>
        <w:t>naruszenie obowiązku udzielania konsumentom rzetelnej, prawdziwej i pełnej informacji</w:t>
      </w:r>
      <w:r>
        <w:t>.</w:t>
      </w:r>
    </w:p>
    <w:p w:rsidR="00D83EB3" w:rsidRDefault="00F53235" w:rsidP="00F53235">
      <w:pPr>
        <w:jc w:val="both"/>
      </w:pPr>
      <w:r>
        <w:t>W dalszej części odpowiedzi piszą Państwo:</w:t>
      </w:r>
    </w:p>
    <w:p w:rsidR="00F53235" w:rsidRDefault="00F53235" w:rsidP="00F53235">
      <w:pPr>
        <w:jc w:val="both"/>
        <w:rPr>
          <w:i/>
        </w:rPr>
      </w:pPr>
      <w:r>
        <w:rPr>
          <w:i/>
        </w:rPr>
        <w:t xml:space="preserve">Zgodnie z zawartą umową </w:t>
      </w:r>
      <w:proofErr w:type="spellStart"/>
      <w:r>
        <w:rPr>
          <w:i/>
        </w:rPr>
        <w:t>Ticketmaster</w:t>
      </w:r>
      <w:proofErr w:type="spellEnd"/>
      <w:r>
        <w:rPr>
          <w:i/>
        </w:rPr>
        <w:t xml:space="preserve"> Poland sp. z o.o. wywiązała się z umowy i dostarczyła bilety umożliwiające wzięcie udziału w koncercie w wybranym sektorze.</w:t>
      </w:r>
    </w:p>
    <w:p w:rsidR="00F53235" w:rsidRDefault="00F53235" w:rsidP="00F53235">
      <w:pPr>
        <w:jc w:val="both"/>
      </w:pPr>
      <w:r>
        <w:rPr>
          <w:i/>
        </w:rPr>
        <w:t xml:space="preserve">W związku z faktem, że </w:t>
      </w:r>
      <w:proofErr w:type="spellStart"/>
      <w:r>
        <w:rPr>
          <w:i/>
        </w:rPr>
        <w:t>Ticketmaster</w:t>
      </w:r>
      <w:proofErr w:type="spellEnd"/>
      <w:r>
        <w:rPr>
          <w:i/>
        </w:rPr>
        <w:t xml:space="preserve"> Poland sp. z o.o. pośredniczy w sprzedaży biletów nie ma wpływu i nie ponosi odpowiedzialności za organizację, rozmieszczenie i wielkość sektorów.</w:t>
      </w:r>
    </w:p>
    <w:p w:rsidR="00F53235" w:rsidRDefault="00A377DA" w:rsidP="000E067A">
      <w:pPr>
        <w:jc w:val="both"/>
      </w:pPr>
      <w:r>
        <w:t xml:space="preserve">Odnosząc się do </w:t>
      </w:r>
      <w:r w:rsidR="00C65850">
        <w:t>powyższego stwierdzam, że</w:t>
      </w:r>
      <w:r w:rsidR="00F53235">
        <w:t xml:space="preserve"> </w:t>
      </w:r>
      <w:r w:rsidR="00C65850">
        <w:t xml:space="preserve">o </w:t>
      </w:r>
      <w:r w:rsidR="00F53235">
        <w:t xml:space="preserve">ile rzeczywiście </w:t>
      </w:r>
      <w:r>
        <w:t xml:space="preserve">należy uznać, </w:t>
      </w:r>
      <w:r w:rsidR="00C65850">
        <w:t xml:space="preserve">że (prawdopodobnie) nie mają Państwo </w:t>
      </w:r>
      <w:r w:rsidR="00C65850" w:rsidRPr="00C65850">
        <w:rPr>
          <w:i/>
        </w:rPr>
        <w:t>wpływu</w:t>
      </w:r>
      <w:r w:rsidR="00C65850">
        <w:t xml:space="preserve"> na organizację, rozmieszczenie i wielkość sektorów, to w przypadku koncertu </w:t>
      </w:r>
      <w:proofErr w:type="spellStart"/>
      <w:r w:rsidR="00C65850">
        <w:t>Guns</w:t>
      </w:r>
      <w:proofErr w:type="spellEnd"/>
      <w:r w:rsidR="00C65850">
        <w:t xml:space="preserve"> </w:t>
      </w:r>
      <w:proofErr w:type="spellStart"/>
      <w:r w:rsidR="00C65850">
        <w:t>N’Roses</w:t>
      </w:r>
      <w:proofErr w:type="spellEnd"/>
      <w:r w:rsidR="00C65850">
        <w:t xml:space="preserve"> ponoszą Państwo odpowiedzialność za ich wielkość, a ściślej: za sposób przekazywania informacji o nich.</w:t>
      </w:r>
    </w:p>
    <w:p w:rsidR="00C65850" w:rsidRDefault="00C65850" w:rsidP="000E067A">
      <w:pPr>
        <w:jc w:val="both"/>
      </w:pPr>
      <w:r>
        <w:t xml:space="preserve">Mianowicie, działając jako podmiot profesjonalny oraz – co ważne – wyłączny dystrybutor biletów na koncert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>, mieliście Państwo dokładną informację o liczbie biletów przeznaczonych do sprzedaży w poszczególnych sektorach. Wiedzieliście więc Państwo, że faktyczna sytuacja na stadionie będzie dramatycznie odmienna od tej przedstawianej na mapce (</w:t>
      </w:r>
      <w:r w:rsidR="004148AD">
        <w:t xml:space="preserve">opatrzonej </w:t>
      </w:r>
      <w:r>
        <w:t xml:space="preserve">w dodatku Państwa logo), a sektor przyległy do sceny nie będzie miał nic wspólnego ze zwyczajowo pojmowanym „Golden </w:t>
      </w:r>
      <w:proofErr w:type="spellStart"/>
      <w:r>
        <w:t>Circle</w:t>
      </w:r>
      <w:proofErr w:type="spellEnd"/>
      <w:r>
        <w:t>”.</w:t>
      </w:r>
    </w:p>
    <w:p w:rsidR="00D53D5F" w:rsidRDefault="00C65850" w:rsidP="000E067A">
      <w:pPr>
        <w:jc w:val="both"/>
      </w:pPr>
      <w:r w:rsidRPr="00C65850">
        <w:rPr>
          <w:b/>
        </w:rPr>
        <w:t xml:space="preserve">Jest to kolejna kwestia, którą </w:t>
      </w:r>
      <w:r w:rsidRPr="00C65850">
        <w:rPr>
          <w:b/>
          <w:highlight w:val="yellow"/>
        </w:rPr>
        <w:t>podnosiłem/</w:t>
      </w:r>
      <w:r w:rsidRPr="00C65850">
        <w:rPr>
          <w:b/>
          <w:highlight w:val="green"/>
        </w:rPr>
        <w:t>podnosiłam</w:t>
      </w:r>
      <w:r w:rsidRPr="00C65850">
        <w:rPr>
          <w:b/>
        </w:rPr>
        <w:t xml:space="preserve"> w reklamacji, a do której Państwo się nie </w:t>
      </w:r>
      <w:r>
        <w:rPr>
          <w:b/>
        </w:rPr>
        <w:t>odnieśli</w:t>
      </w:r>
      <w:r w:rsidRPr="00C65850">
        <w:rPr>
          <w:b/>
        </w:rPr>
        <w:t>.</w:t>
      </w:r>
    </w:p>
    <w:p w:rsidR="00D53D5F" w:rsidRDefault="00C65850" w:rsidP="000E067A">
      <w:pPr>
        <w:jc w:val="both"/>
      </w:pPr>
      <w:r>
        <w:t xml:space="preserve">Warto tu dodatkowo podkreślić, że według posiadanych przeze mnie informacji, na wszystkich pozostałych koncertach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 w Europie w ramach trasy Not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Lifetime</w:t>
      </w:r>
      <w:proofErr w:type="spellEnd"/>
      <w:r>
        <w:t xml:space="preserve">, na których wyznaczony został sektor Golden </w:t>
      </w:r>
      <w:proofErr w:type="spellStart"/>
      <w:r>
        <w:t>Circle</w:t>
      </w:r>
      <w:proofErr w:type="spellEnd"/>
      <w:r>
        <w:t>, miał on rozmiary takie, jakich należałoby oczekiwać</w:t>
      </w:r>
      <w:r w:rsidR="004148AD">
        <w:t>,</w:t>
      </w:r>
      <w:r>
        <w:t xml:space="preserve"> sugerując się materiałami informacyjnymi oraz nazwą.</w:t>
      </w:r>
    </w:p>
    <w:p w:rsidR="00D1287C" w:rsidRPr="00D1287C" w:rsidRDefault="00D1287C" w:rsidP="000E067A">
      <w:pPr>
        <w:jc w:val="both"/>
      </w:pPr>
      <w:r>
        <w:t xml:space="preserve">Tak więc szanując prawo organizatora do wprowadzania </w:t>
      </w:r>
      <w:r>
        <w:rPr>
          <w:i/>
        </w:rPr>
        <w:t>pewnych</w:t>
      </w:r>
      <w:r>
        <w:t xml:space="preserve"> zmian w układzie poszczególnych sektorów, nie akceptuję sytuacji, w której jedynym zapewne czynnikiem wpływającym na wprowadzanie tych zmian jest chęć zysku organizatora, prowadząca do karykaturalnego wypaczenia idei Golden </w:t>
      </w:r>
      <w:proofErr w:type="spellStart"/>
      <w:r>
        <w:t>Circle</w:t>
      </w:r>
      <w:proofErr w:type="spellEnd"/>
      <w:r>
        <w:t>, monstrualnych faktycznych rozmiarów tegoż, uniemożliwiających większości zgromadzonych w nim widzów obserwację artystów bezpośrednio na scenie i wprowadzania konsumentów w błąd.</w:t>
      </w:r>
    </w:p>
    <w:p w:rsidR="004148AD" w:rsidRDefault="004148AD" w:rsidP="000E067A">
      <w:pPr>
        <w:jc w:val="both"/>
      </w:pPr>
      <w:r>
        <w:t xml:space="preserve">Dodatkowo, jako że przywołane przed chwilą fragmenty Państwa odpowiedzi zdają się sugerować, że nie są Państwo właściwym adresatem reklamacji, </w:t>
      </w:r>
      <w:r w:rsidR="007C5891">
        <w:t xml:space="preserve">pragnę </w:t>
      </w:r>
      <w:r>
        <w:t>zwrócić uwagę, że:</w:t>
      </w:r>
    </w:p>
    <w:p w:rsidR="004148AD" w:rsidRDefault="004148AD" w:rsidP="004148AD">
      <w:pPr>
        <w:ind w:left="284" w:hanging="284"/>
        <w:jc w:val="both"/>
      </w:pPr>
      <w:r>
        <w:lastRenderedPageBreak/>
        <w:t>1.</w:t>
      </w:r>
      <w:r>
        <w:tab/>
      </w:r>
      <w:r w:rsidR="007C5891">
        <w:t xml:space="preserve">abstrahując od tej konkretnej sytuacji, kwestionowanie </w:t>
      </w:r>
      <w:r>
        <w:t>adresata reklamacji</w:t>
      </w:r>
      <w:r w:rsidR="007C5891">
        <w:t xml:space="preserve"> w sytuacji, w której prawidłowym adresatem jest blisko współpracująca firma z tej samej grupy kapitałowej, jest żenującą wręcz swoją małostkowością i brakiem elementarnej przyzwoitości praktyką biznesową,</w:t>
      </w:r>
    </w:p>
    <w:p w:rsidR="004148AD" w:rsidRDefault="004148AD" w:rsidP="004148AD">
      <w:pPr>
        <w:ind w:left="284" w:hanging="284"/>
        <w:jc w:val="both"/>
      </w:pPr>
      <w:r>
        <w:t>2.</w:t>
      </w:r>
      <w:r>
        <w:tab/>
        <w:t>informacje na serwisie ticketmaster.pl oraz należącym do organizatora koncertu serwisie livenation.pl utrudniają ustalenie zakresu odpowiedzialności poszczególnych stron</w:t>
      </w:r>
      <w:r w:rsidR="007C5891">
        <w:t>,</w:t>
      </w:r>
    </w:p>
    <w:p w:rsidR="007C5891" w:rsidRDefault="007C5891" w:rsidP="004148AD">
      <w:pPr>
        <w:ind w:left="284" w:hanging="284"/>
        <w:jc w:val="both"/>
      </w:pPr>
      <w:r>
        <w:t>3.</w:t>
      </w:r>
      <w:r>
        <w:tab/>
        <w:t xml:space="preserve">regulamin Live </w:t>
      </w:r>
      <w:proofErr w:type="spellStart"/>
      <w:r>
        <w:t>Nation</w:t>
      </w:r>
      <w:proofErr w:type="spellEnd"/>
      <w:r>
        <w:t xml:space="preserve"> sp. z o.o. nie zawiera zapisów dotyczących reklamacji sposobu wykonania usługi, zapisy takie natomiast zawiera regulamin </w:t>
      </w:r>
      <w:proofErr w:type="spellStart"/>
      <w:r>
        <w:t>Ticketmaster</w:t>
      </w:r>
      <w:proofErr w:type="spellEnd"/>
      <w:r>
        <w:t xml:space="preserve"> Poland sp. z o.o.; w aktualnie obowiązującej wersji jest wręcz mowa o możliwości współpracy z organizatorem wydarzeń w wyjaśnianiu wybranych reklamacji.</w:t>
      </w:r>
    </w:p>
    <w:p w:rsidR="004148AD" w:rsidRPr="0054433F" w:rsidRDefault="007C5891" w:rsidP="004148AD">
      <w:pPr>
        <w:ind w:left="284" w:hanging="284"/>
        <w:jc w:val="both"/>
      </w:pPr>
      <w:r>
        <w:t>4</w:t>
      </w:r>
      <w:r w:rsidR="004148AD">
        <w:t>.</w:t>
      </w:r>
      <w:r w:rsidR="004148AD">
        <w:tab/>
        <w:t xml:space="preserve">wreszcie, po raz drugi przypomnę, że są Państwo współodpowiedzialni za sposób przedstawiania informacji dotyczących koncertu, a więc współodpowiedzialni za wprowadzenie w klientów w błąd w opisany wcześniej sposób. </w:t>
      </w:r>
    </w:p>
    <w:p w:rsidR="00697454" w:rsidRDefault="00697454" w:rsidP="000E067A">
      <w:pPr>
        <w:jc w:val="both"/>
      </w:pPr>
      <w:r>
        <w:t>Co więcej, podczas oczekiwania na odpowiedź z Państwa strony, miały miejsce z Państwa strony działania, które jasno wskazują na to, że doskonale zdajecie sobie Państwo sprawę, że</w:t>
      </w:r>
    </w:p>
    <w:p w:rsidR="00D53D5F" w:rsidRDefault="00697454" w:rsidP="00697454">
      <w:pPr>
        <w:pStyle w:val="Akapitzlist"/>
        <w:numPr>
          <w:ilvl w:val="0"/>
          <w:numId w:val="4"/>
        </w:numPr>
        <w:jc w:val="both"/>
      </w:pPr>
      <w:r>
        <w:t>zasłanianie się poglądowym charakterem mapki nie upoważnia Państwa do dowolnego manipulowania wielkością poszczególnych sektorów,</w:t>
      </w:r>
    </w:p>
    <w:p w:rsidR="00697454" w:rsidRDefault="00697454" w:rsidP="00697454">
      <w:pPr>
        <w:pStyle w:val="Akapitzlist"/>
        <w:numPr>
          <w:ilvl w:val="0"/>
          <w:numId w:val="4"/>
        </w:numPr>
        <w:jc w:val="both"/>
      </w:pPr>
      <w:r>
        <w:t xml:space="preserve">nazwa „Golden </w:t>
      </w:r>
      <w:proofErr w:type="spellStart"/>
      <w:r>
        <w:t>Circle</w:t>
      </w:r>
      <w:proofErr w:type="spellEnd"/>
      <w:r>
        <w:t xml:space="preserve">” jest nieadekwatna do sytuacji, w której sektor pod sceną zajmuje znaczną część płyty stadionu i większość zebranych w nim widzów jest zmuszona do obserwacji artystów na telebimach zamiast – jak to powinno mieć miejsce w przypadku prawidłowo rozumianego Golden </w:t>
      </w:r>
      <w:proofErr w:type="spellStart"/>
      <w:r>
        <w:t>Circle</w:t>
      </w:r>
      <w:proofErr w:type="spellEnd"/>
      <w:r>
        <w:t xml:space="preserve"> – bezpośrednio na scenie.</w:t>
      </w:r>
    </w:p>
    <w:p w:rsidR="00D53D5F" w:rsidRDefault="00697454" w:rsidP="000E067A">
      <w:pPr>
        <w:jc w:val="both"/>
      </w:pPr>
      <w:r>
        <w:t xml:space="preserve">Mam na myśli oczywiście </w:t>
      </w:r>
      <w:r w:rsidR="0049677F">
        <w:t xml:space="preserve">niedawną </w:t>
      </w:r>
      <w:r>
        <w:t xml:space="preserve">sprzedaż biletów na </w:t>
      </w:r>
      <w:r w:rsidR="0049677F">
        <w:t xml:space="preserve">przyszłoroczny </w:t>
      </w:r>
      <w:r>
        <w:t xml:space="preserve">koncert grupy </w:t>
      </w:r>
      <w:proofErr w:type="spellStart"/>
      <w:r>
        <w:t>Depeche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w Gdańsku, kiedy to w trakcie sprzedaży biletów, dokonywali Państwo modyfikacji planu stadionu w trakcie sprzedaży, polegających m.in. na sukcesywnym zwiększaniu sektora bezpośrednio pod sceną. W sposób oczywisty takie zmiany przeczą forsowanemu w Państwa odpowiedzi </w:t>
      </w:r>
      <w:r w:rsidR="00D1287C">
        <w:t xml:space="preserve">na reklamację </w:t>
      </w:r>
      <w:r>
        <w:t xml:space="preserve">stanowisku, zgodnie z </w:t>
      </w:r>
      <w:r w:rsidR="00D1287C">
        <w:t>którym</w:t>
      </w:r>
      <w:r>
        <w:t xml:space="preserve"> poglądowy charakter mapki umożliwia dowolne kształtowanie wi</w:t>
      </w:r>
      <w:r w:rsidR="00D1287C">
        <w:t xml:space="preserve">elkości poszczególnych sektorów: </w:t>
      </w:r>
      <w:r w:rsidR="00D1287C" w:rsidRPr="006A4225">
        <w:rPr>
          <w:b/>
        </w:rPr>
        <w:t>gdyby rzeczywiście wielkość sektorów na mapce nie miała znaczenia, nie zmienialiby jej Państwo w trakcie sprzedaży biletów</w:t>
      </w:r>
      <w:r w:rsidR="00D1287C">
        <w:t>.</w:t>
      </w:r>
    </w:p>
    <w:p w:rsidR="00D1287C" w:rsidRPr="006A4225" w:rsidRDefault="00D1287C" w:rsidP="000E067A">
      <w:pPr>
        <w:jc w:val="both"/>
        <w:rPr>
          <w:b/>
        </w:rPr>
      </w:pPr>
      <w:r>
        <w:t xml:space="preserve">Znamienna jest również rezygnacja z nazwy Golden </w:t>
      </w:r>
      <w:proofErr w:type="spellStart"/>
      <w:r>
        <w:t>Circle</w:t>
      </w:r>
      <w:proofErr w:type="spellEnd"/>
      <w:r>
        <w:t xml:space="preserve"> w przypadku tego koncertu i zastąpienie go nazwą GA1 (General </w:t>
      </w:r>
      <w:proofErr w:type="spellStart"/>
      <w:r>
        <w:t>Admission</w:t>
      </w:r>
      <w:proofErr w:type="spellEnd"/>
      <w:r>
        <w:t xml:space="preserve"> 1), mimo że wyjściowy rozmiar tego sektora z powodzenie kwalifikował go do nazwy </w:t>
      </w:r>
      <w:r w:rsidR="00035AD3">
        <w:t>„</w:t>
      </w:r>
      <w:r>
        <w:t xml:space="preserve">Golden </w:t>
      </w:r>
      <w:proofErr w:type="spellStart"/>
      <w:r>
        <w:t>Circle</w:t>
      </w:r>
      <w:proofErr w:type="spellEnd"/>
      <w:r w:rsidR="00035AD3">
        <w:t>”</w:t>
      </w:r>
      <w:r>
        <w:t xml:space="preserve">.  </w:t>
      </w:r>
      <w:r w:rsidRPr="006A4225">
        <w:rPr>
          <w:b/>
        </w:rPr>
        <w:t xml:space="preserve">Jest to jasna wskazówka, że zdają sobie Państwo sprawę, że nazwa </w:t>
      </w:r>
      <w:r w:rsidR="00035AD3" w:rsidRPr="006A4225">
        <w:rPr>
          <w:b/>
        </w:rPr>
        <w:t>„</w:t>
      </w:r>
      <w:r w:rsidRPr="006A4225">
        <w:rPr>
          <w:b/>
        </w:rPr>
        <w:t xml:space="preserve">Golden </w:t>
      </w:r>
      <w:proofErr w:type="spellStart"/>
      <w:r w:rsidRPr="006A4225">
        <w:rPr>
          <w:b/>
        </w:rPr>
        <w:t>Circle</w:t>
      </w:r>
      <w:proofErr w:type="spellEnd"/>
      <w:r w:rsidR="00035AD3" w:rsidRPr="006A4225">
        <w:rPr>
          <w:b/>
        </w:rPr>
        <w:t xml:space="preserve">” w odniesieniu do sektora takich rozmiarów, jak np. w przypadku koncertu </w:t>
      </w:r>
      <w:proofErr w:type="spellStart"/>
      <w:r w:rsidR="00035AD3" w:rsidRPr="006A4225">
        <w:rPr>
          <w:b/>
        </w:rPr>
        <w:t>Guns</w:t>
      </w:r>
      <w:proofErr w:type="spellEnd"/>
      <w:r w:rsidR="00035AD3" w:rsidRPr="006A4225">
        <w:rPr>
          <w:b/>
        </w:rPr>
        <w:t xml:space="preserve"> </w:t>
      </w:r>
      <w:proofErr w:type="spellStart"/>
      <w:r w:rsidR="00035AD3" w:rsidRPr="006A4225">
        <w:rPr>
          <w:b/>
        </w:rPr>
        <w:t>N’Roses</w:t>
      </w:r>
      <w:proofErr w:type="spellEnd"/>
      <w:r w:rsidR="00035AD3" w:rsidRPr="006A4225">
        <w:rPr>
          <w:b/>
        </w:rPr>
        <w:t>,</w:t>
      </w:r>
      <w:r w:rsidRPr="006A4225">
        <w:rPr>
          <w:b/>
        </w:rPr>
        <w:t xml:space="preserve"> wprowadza w błąd co do oczekiwanej jakości odbioru koncertu.</w:t>
      </w:r>
    </w:p>
    <w:p w:rsidR="00664C5E" w:rsidRDefault="006A4225" w:rsidP="000E067A">
      <w:pPr>
        <w:jc w:val="both"/>
      </w:pPr>
      <w:r>
        <w:rPr>
          <w:highlight w:val="yellow"/>
        </w:rPr>
        <w:t>Kończąc</w:t>
      </w:r>
      <w:r w:rsidR="00035AD3" w:rsidRPr="00035AD3">
        <w:rPr>
          <w:highlight w:val="yellow"/>
        </w:rPr>
        <w:t>, ponawiam żądanie</w:t>
      </w:r>
      <w:r w:rsidR="00870A7B" w:rsidRPr="00035AD3">
        <w:rPr>
          <w:b/>
          <w:highlight w:val="yellow"/>
        </w:rPr>
        <w:t xml:space="preserve"> zwrotu kwoty </w:t>
      </w:r>
      <w:r w:rsidR="00870A7B" w:rsidRPr="00035AD3">
        <w:rPr>
          <w:b/>
          <w:highlight w:val="green"/>
        </w:rPr>
        <w:t>100</w:t>
      </w:r>
      <w:r w:rsidR="00870A7B" w:rsidRPr="00035AD3">
        <w:rPr>
          <w:b/>
          <w:highlight w:val="yellow"/>
        </w:rPr>
        <w:t xml:space="preserve"> zł, będącej </w:t>
      </w:r>
      <w:r w:rsidR="00870A7B" w:rsidRPr="00035AD3">
        <w:rPr>
          <w:b/>
          <w:highlight w:val="green"/>
        </w:rPr>
        <w:t>różnicą</w:t>
      </w:r>
      <w:r w:rsidR="00035AD3">
        <w:rPr>
          <w:b/>
          <w:highlight w:val="yellow"/>
        </w:rPr>
        <w:t>/</w:t>
      </w:r>
      <w:r w:rsidR="00035AD3" w:rsidRPr="00035AD3">
        <w:rPr>
          <w:b/>
          <w:highlight w:val="green"/>
        </w:rPr>
        <w:t>x-krotności</w:t>
      </w:r>
      <w:r w:rsidR="00035AD3">
        <w:rPr>
          <w:b/>
          <w:highlight w:val="green"/>
        </w:rPr>
        <w:t>ą różnicy</w:t>
      </w:r>
      <w:r w:rsidR="00870A7B" w:rsidRPr="00035AD3">
        <w:rPr>
          <w:b/>
          <w:highlight w:val="yellow"/>
        </w:rPr>
        <w:t xml:space="preserve"> pomiędzy ceną biletu do sektora GA (256 zł) i GC (356 zł)</w:t>
      </w:r>
      <w:r w:rsidR="00600DAD" w:rsidRPr="00035AD3">
        <w:rPr>
          <w:highlight w:val="yellow"/>
        </w:rPr>
        <w:t>.</w:t>
      </w:r>
    </w:p>
    <w:p w:rsidR="004F17D1" w:rsidRDefault="006A4225" w:rsidP="004F17D1">
      <w:pPr>
        <w:jc w:val="both"/>
      </w:pPr>
      <w:r>
        <w:rPr>
          <w:highlight w:val="green"/>
        </w:rPr>
        <w:t>Kończąc</w:t>
      </w:r>
      <w:r w:rsidR="00035AD3">
        <w:rPr>
          <w:highlight w:val="green"/>
        </w:rPr>
        <w:t xml:space="preserve">, ponawiam </w:t>
      </w:r>
      <w:r w:rsidR="00035AD3" w:rsidRPr="00035AD3">
        <w:rPr>
          <w:b/>
          <w:highlight w:val="green"/>
        </w:rPr>
        <w:t>żądanie</w:t>
      </w:r>
      <w:r w:rsidR="00035AD3">
        <w:rPr>
          <w:highlight w:val="green"/>
        </w:rPr>
        <w:t xml:space="preserve"> </w:t>
      </w:r>
      <w:r w:rsidR="004F17D1" w:rsidRPr="00600DAD">
        <w:rPr>
          <w:b/>
          <w:highlight w:val="green"/>
        </w:rPr>
        <w:t xml:space="preserve">zwrotu kwoty </w:t>
      </w:r>
      <w:r w:rsidR="000454D8" w:rsidRPr="00DF2DA3">
        <w:rPr>
          <w:b/>
          <w:highlight w:val="yellow"/>
        </w:rPr>
        <w:t>...</w:t>
      </w:r>
      <w:r w:rsidR="004632F1">
        <w:rPr>
          <w:b/>
          <w:highlight w:val="green"/>
        </w:rPr>
        <w:t xml:space="preserve"> zł</w:t>
      </w:r>
      <w:r w:rsidR="00600DAD" w:rsidRPr="00600DAD">
        <w:rPr>
          <w:highlight w:val="green"/>
        </w:rPr>
        <w:t>.</w:t>
      </w:r>
    </w:p>
    <w:p w:rsidR="00035AD3" w:rsidRDefault="00035AD3" w:rsidP="00275169">
      <w:pPr>
        <w:jc w:val="both"/>
      </w:pPr>
      <w:r>
        <w:t xml:space="preserve">Co ważne, zgodnie z moją wiedzą, do </w:t>
      </w:r>
      <w:proofErr w:type="spellStart"/>
      <w:r>
        <w:t>UOKiK</w:t>
      </w:r>
      <w:proofErr w:type="spellEnd"/>
      <w:r>
        <w:t xml:space="preserve"> wpłynęły zawiadomienia dotyczące sposobu organizacji koncertu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 w:rsidR="006A4225">
        <w:t xml:space="preserve"> oraz – jako odrębne zawiadomienie – dotyczące sprzedaży biletów na </w:t>
      </w:r>
      <w:proofErr w:type="spellStart"/>
      <w:r w:rsidR="006A4225">
        <w:t>Depeche</w:t>
      </w:r>
      <w:proofErr w:type="spellEnd"/>
      <w:r w:rsidR="006A4225">
        <w:t xml:space="preserve"> </w:t>
      </w:r>
      <w:proofErr w:type="spellStart"/>
      <w:r w:rsidR="006A4225">
        <w:t>Mode</w:t>
      </w:r>
      <w:proofErr w:type="spellEnd"/>
      <w:r w:rsidR="006A4225">
        <w:t>.</w:t>
      </w:r>
      <w:r>
        <w:t xml:space="preserve"> </w:t>
      </w:r>
      <w:r w:rsidR="006A4225">
        <w:t>Z</w:t>
      </w:r>
      <w:r>
        <w:t xml:space="preserve">astrzegam, że sposób, w jaki odpowiedzą Państwo na powyższe pismo, możne znaleźć odzwierciedlenie w </w:t>
      </w:r>
      <w:r w:rsidR="0049677F">
        <w:t xml:space="preserve">mojej </w:t>
      </w:r>
      <w:r>
        <w:t>ewentualnej korespondencji z tą instytucją oraz rzecznikiem praw konsumenta i potencjalnie stać się dowodem w ewentualnym postępowani</w:t>
      </w:r>
      <w:r w:rsidR="0049677F">
        <w:t>u</w:t>
      </w:r>
      <w:r>
        <w:t xml:space="preserve"> przez Prezesem </w:t>
      </w:r>
      <w:proofErr w:type="spellStart"/>
      <w:r>
        <w:t>UOKiK</w:t>
      </w:r>
      <w:proofErr w:type="spellEnd"/>
      <w:r>
        <w:t>.</w:t>
      </w:r>
    </w:p>
    <w:p w:rsidR="00D73B7E" w:rsidRDefault="00D73B7E" w:rsidP="00275169">
      <w:pPr>
        <w:jc w:val="both"/>
      </w:pPr>
      <w:r>
        <w:t>Z poważaniem</w:t>
      </w:r>
    </w:p>
    <w:p w:rsidR="00D73B7E" w:rsidRDefault="00D73B7E" w:rsidP="00275169">
      <w:pPr>
        <w:jc w:val="both"/>
      </w:pPr>
    </w:p>
    <w:p w:rsidR="005E2906" w:rsidRPr="00600DAD" w:rsidRDefault="00D73B7E" w:rsidP="00600DAD">
      <w:pPr>
        <w:jc w:val="both"/>
        <w:rPr>
          <w:i/>
        </w:rPr>
      </w:pPr>
      <w:r w:rsidRPr="00600DAD">
        <w:rPr>
          <w:i/>
          <w:highlight w:val="green"/>
        </w:rPr>
        <w:t>Imię Nazwisko</w:t>
      </w:r>
      <w:r>
        <w:rPr>
          <w:i/>
        </w:rPr>
        <w:t xml:space="preserve"> </w:t>
      </w:r>
      <w:r w:rsidR="00922F0F">
        <w:rPr>
          <w:i/>
        </w:rPr>
        <w:t xml:space="preserve"> </w:t>
      </w:r>
    </w:p>
    <w:sectPr w:rsidR="005E2906" w:rsidRPr="00600DAD" w:rsidSect="00D30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7C" w:rsidRDefault="00D1287C" w:rsidP="00E027B1">
      <w:pPr>
        <w:spacing w:after="0"/>
      </w:pPr>
      <w:r>
        <w:separator/>
      </w:r>
    </w:p>
  </w:endnote>
  <w:endnote w:type="continuationSeparator" w:id="0">
    <w:p w:rsidR="00D1287C" w:rsidRDefault="00D1287C" w:rsidP="00E027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7C" w:rsidRDefault="00D128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7C" w:rsidRDefault="007E0642" w:rsidP="00E027B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D1287C">
          <w:t xml:space="preserve">Strona </w:t>
        </w:r>
        <w:fldSimple w:instr=" PAGE ">
          <w:r w:rsidR="0088542D">
            <w:rPr>
              <w:noProof/>
            </w:rPr>
            <w:t>1</w:t>
          </w:r>
        </w:fldSimple>
        <w:r w:rsidR="00D1287C">
          <w:t xml:space="preserve"> z </w:t>
        </w:r>
        <w:fldSimple w:instr=" NUMPAGES  ">
          <w:r w:rsidR="0088542D">
            <w:rPr>
              <w:noProof/>
            </w:rPr>
            <w:t>3</w:t>
          </w:r>
        </w:fldSimple>
      </w:sdtContent>
    </w:sdt>
  </w:p>
  <w:p w:rsidR="00D1287C" w:rsidRDefault="00D1287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7C" w:rsidRDefault="00D128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7C" w:rsidRDefault="00D1287C" w:rsidP="00E027B1">
      <w:pPr>
        <w:spacing w:after="0"/>
      </w:pPr>
      <w:r>
        <w:separator/>
      </w:r>
    </w:p>
  </w:footnote>
  <w:footnote w:type="continuationSeparator" w:id="0">
    <w:p w:rsidR="00D1287C" w:rsidRDefault="00D1287C" w:rsidP="00E027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7C" w:rsidRDefault="00D128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7C" w:rsidRDefault="00D1287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7C" w:rsidRDefault="00D128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7F"/>
    <w:multiLevelType w:val="hybridMultilevel"/>
    <w:tmpl w:val="F022D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570F9"/>
    <w:multiLevelType w:val="hybridMultilevel"/>
    <w:tmpl w:val="AF38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D01E0"/>
    <w:multiLevelType w:val="hybridMultilevel"/>
    <w:tmpl w:val="3A58D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D46E9"/>
    <w:multiLevelType w:val="hybridMultilevel"/>
    <w:tmpl w:val="4A86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C0901"/>
    <w:rsid w:val="000037F7"/>
    <w:rsid w:val="0003503E"/>
    <w:rsid w:val="00035AD3"/>
    <w:rsid w:val="000454D8"/>
    <w:rsid w:val="000523A7"/>
    <w:rsid w:val="00063274"/>
    <w:rsid w:val="000B5CE5"/>
    <w:rsid w:val="000C0901"/>
    <w:rsid w:val="000E067A"/>
    <w:rsid w:val="000E10FC"/>
    <w:rsid w:val="000F654E"/>
    <w:rsid w:val="00137B37"/>
    <w:rsid w:val="001B42BA"/>
    <w:rsid w:val="001B5D5B"/>
    <w:rsid w:val="001E083D"/>
    <w:rsid w:val="00234C9E"/>
    <w:rsid w:val="00275169"/>
    <w:rsid w:val="002A6916"/>
    <w:rsid w:val="002E0860"/>
    <w:rsid w:val="002E4F9C"/>
    <w:rsid w:val="004144F0"/>
    <w:rsid w:val="004148AD"/>
    <w:rsid w:val="00431AA8"/>
    <w:rsid w:val="004632F1"/>
    <w:rsid w:val="00476EA6"/>
    <w:rsid w:val="0049677F"/>
    <w:rsid w:val="004C172A"/>
    <w:rsid w:val="004C5411"/>
    <w:rsid w:val="004F17D1"/>
    <w:rsid w:val="00511C3E"/>
    <w:rsid w:val="0055514F"/>
    <w:rsid w:val="00581EE2"/>
    <w:rsid w:val="005E2906"/>
    <w:rsid w:val="00600DAD"/>
    <w:rsid w:val="00602435"/>
    <w:rsid w:val="00664C5E"/>
    <w:rsid w:val="00697454"/>
    <w:rsid w:val="006A4225"/>
    <w:rsid w:val="00732F32"/>
    <w:rsid w:val="007521BD"/>
    <w:rsid w:val="00781F26"/>
    <w:rsid w:val="00794124"/>
    <w:rsid w:val="007C5891"/>
    <w:rsid w:val="007E0642"/>
    <w:rsid w:val="00835E2B"/>
    <w:rsid w:val="008465C9"/>
    <w:rsid w:val="0087057E"/>
    <w:rsid w:val="00870A7B"/>
    <w:rsid w:val="008744FC"/>
    <w:rsid w:val="0088542D"/>
    <w:rsid w:val="0091288F"/>
    <w:rsid w:val="00922F0F"/>
    <w:rsid w:val="00924611"/>
    <w:rsid w:val="00937D3F"/>
    <w:rsid w:val="009B4D50"/>
    <w:rsid w:val="00A11D12"/>
    <w:rsid w:val="00A22686"/>
    <w:rsid w:val="00A3051D"/>
    <w:rsid w:val="00A377DA"/>
    <w:rsid w:val="00A471A9"/>
    <w:rsid w:val="00A55007"/>
    <w:rsid w:val="00A80171"/>
    <w:rsid w:val="00AA6909"/>
    <w:rsid w:val="00AC1468"/>
    <w:rsid w:val="00BA56A5"/>
    <w:rsid w:val="00BB6775"/>
    <w:rsid w:val="00C65850"/>
    <w:rsid w:val="00CA2640"/>
    <w:rsid w:val="00D1287C"/>
    <w:rsid w:val="00D306D8"/>
    <w:rsid w:val="00D53D5F"/>
    <w:rsid w:val="00D65AB0"/>
    <w:rsid w:val="00D73B7E"/>
    <w:rsid w:val="00D75F4B"/>
    <w:rsid w:val="00D8018E"/>
    <w:rsid w:val="00D83EB3"/>
    <w:rsid w:val="00D958F0"/>
    <w:rsid w:val="00DF2DA3"/>
    <w:rsid w:val="00DF3F45"/>
    <w:rsid w:val="00E027B1"/>
    <w:rsid w:val="00E47D5D"/>
    <w:rsid w:val="00E71629"/>
    <w:rsid w:val="00E72A24"/>
    <w:rsid w:val="00E93AD3"/>
    <w:rsid w:val="00EA48FF"/>
    <w:rsid w:val="00EB7E2B"/>
    <w:rsid w:val="00F32EA4"/>
    <w:rsid w:val="00F53235"/>
    <w:rsid w:val="00F60612"/>
    <w:rsid w:val="00FC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AD3"/>
    <w:pPr>
      <w:spacing w:after="120" w:line="240" w:lineRule="auto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C09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F4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F4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5500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64C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46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46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454D8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00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00DA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027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7B1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027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27B1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2017-08-20T13:22:00Z</dcterms:created>
  <dcterms:modified xsi:type="dcterms:W3CDTF">2017-08-24T18:04:00Z</dcterms:modified>
</cp:coreProperties>
</file>